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after="0" w:line="579" w:lineRule="auto"/>
        <w:jc w:val="center"/>
        <w:textAlignment w:val="auto"/>
        <w:rPr>
          <w:rFonts w:hint="eastAsia" w:ascii="宋体" w:hAnsi="宋体" w:eastAsia="方正小标宋_GBK"/>
          <w:b w:val="0"/>
          <w:bCs w:val="0"/>
          <w:color w:val="000000" w:themeColor="text1"/>
          <w:sz w:val="30"/>
          <w:highlight w:val="none"/>
          <w14:textFill>
            <w14:solidFill>
              <w14:schemeClr w14:val="tx1"/>
            </w14:solidFill>
          </w14:textFill>
        </w:rPr>
      </w:pPr>
      <w:r>
        <w:rPr>
          <w:rFonts w:hint="eastAsia" w:ascii="宋体" w:hAnsi="宋体" w:eastAsia="方正小标宋_GBK"/>
          <w:b w:val="0"/>
          <w:bCs w:val="0"/>
          <w:color w:val="000000" w:themeColor="text1"/>
          <w:sz w:val="30"/>
          <w:highlight w:val="none"/>
          <w14:textFill>
            <w14:solidFill>
              <w14:schemeClr w14:val="tx1"/>
            </w14:solidFill>
          </w14:textFill>
        </w:rPr>
        <w:t>农村危房改造领域基层政务公开标准目录</w:t>
      </w:r>
      <w:bookmarkStart w:id="0" w:name="_GoBack"/>
      <w:bookmarkEnd w:id="0"/>
    </w:p>
    <w:tbl>
      <w:tblPr>
        <w:tblStyle w:val="3"/>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260"/>
        <w:gridCol w:w="1980"/>
        <w:gridCol w:w="1800"/>
        <w:gridCol w:w="1402"/>
        <w:gridCol w:w="1440"/>
        <w:gridCol w:w="2018"/>
        <w:gridCol w:w="720"/>
        <w:gridCol w:w="709"/>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noWrap w:val="0"/>
            <w:vAlign w:val="center"/>
          </w:tcPr>
          <w:p>
            <w:pPr>
              <w:widowControl/>
              <w:jc w:val="center"/>
              <w:rPr>
                <w:rFonts w:ascii="宋体" w:hAnsi="宋体"/>
                <w:color w:val="000000" w:themeColor="text1"/>
                <w:kern w:val="0"/>
                <w:sz w:val="22"/>
                <w14:textFill>
                  <w14:solidFill>
                    <w14:schemeClr w14:val="tx1"/>
                  </w14:solidFill>
                </w14:textFill>
              </w:rPr>
            </w:pPr>
            <w:r>
              <w:rPr>
                <w:rFonts w:ascii="宋体" w:hAnsi="宋体"/>
                <w:color w:val="000000" w:themeColor="text1"/>
                <w:kern w:val="0"/>
                <w:sz w:val="22"/>
                <w14:textFill>
                  <w14:solidFill>
                    <w14:schemeClr w14:val="tx1"/>
                  </w14:solidFill>
                </w14:textFill>
              </w:rPr>
              <w:t>序号</w:t>
            </w:r>
          </w:p>
        </w:tc>
        <w:tc>
          <w:tcPr>
            <w:tcW w:w="2160" w:type="dxa"/>
            <w:gridSpan w:val="2"/>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公开事项</w:t>
            </w:r>
          </w:p>
        </w:tc>
        <w:tc>
          <w:tcPr>
            <w:tcW w:w="1980" w:type="dxa"/>
            <w:vMerge w:val="restart"/>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公开内容（要素）</w:t>
            </w:r>
          </w:p>
        </w:tc>
        <w:tc>
          <w:tcPr>
            <w:tcW w:w="1800" w:type="dxa"/>
            <w:vMerge w:val="restart"/>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公开依据</w:t>
            </w:r>
          </w:p>
        </w:tc>
        <w:tc>
          <w:tcPr>
            <w:tcW w:w="1402" w:type="dxa"/>
            <w:vMerge w:val="restart"/>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公开时限</w:t>
            </w:r>
          </w:p>
        </w:tc>
        <w:tc>
          <w:tcPr>
            <w:tcW w:w="1440" w:type="dxa"/>
            <w:vMerge w:val="restart"/>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公开主体</w:t>
            </w:r>
          </w:p>
        </w:tc>
        <w:tc>
          <w:tcPr>
            <w:tcW w:w="2018" w:type="dxa"/>
            <w:vMerge w:val="restart"/>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公开渠道和载体</w:t>
            </w:r>
          </w:p>
        </w:tc>
        <w:tc>
          <w:tcPr>
            <w:tcW w:w="1429" w:type="dxa"/>
            <w:gridSpan w:val="2"/>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公开对象</w:t>
            </w:r>
          </w:p>
        </w:tc>
        <w:tc>
          <w:tcPr>
            <w:tcW w:w="1271" w:type="dxa"/>
            <w:gridSpan w:val="2"/>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公开方式</w:t>
            </w:r>
          </w:p>
        </w:tc>
        <w:tc>
          <w:tcPr>
            <w:tcW w:w="1440" w:type="dxa"/>
            <w:gridSpan w:val="2"/>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540" w:type="dxa"/>
            <w:vMerge w:val="continue"/>
            <w:noWrap w:val="0"/>
            <w:vAlign w:val="center"/>
          </w:tcPr>
          <w:p>
            <w:pPr>
              <w:widowControl/>
              <w:jc w:val="center"/>
              <w:rPr>
                <w:rFonts w:ascii="宋体" w:hAnsi="宋体"/>
                <w:color w:val="000000" w:themeColor="text1"/>
                <w:kern w:val="0"/>
                <w:sz w:val="22"/>
                <w14:textFill>
                  <w14:solidFill>
                    <w14:schemeClr w14:val="tx1"/>
                  </w14:solidFill>
                </w14:textFill>
              </w:rPr>
            </w:pPr>
          </w:p>
        </w:tc>
        <w:tc>
          <w:tcPr>
            <w:tcW w:w="900"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一级事项</w:t>
            </w:r>
          </w:p>
        </w:tc>
        <w:tc>
          <w:tcPr>
            <w:tcW w:w="1260"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二级事项</w:t>
            </w:r>
          </w:p>
        </w:tc>
        <w:tc>
          <w:tcPr>
            <w:tcW w:w="1980" w:type="dxa"/>
            <w:vMerge w:val="continue"/>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p>
        </w:tc>
        <w:tc>
          <w:tcPr>
            <w:tcW w:w="1800" w:type="dxa"/>
            <w:vMerge w:val="continue"/>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p>
        </w:tc>
        <w:tc>
          <w:tcPr>
            <w:tcW w:w="1402" w:type="dxa"/>
            <w:vMerge w:val="continue"/>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p>
        </w:tc>
        <w:tc>
          <w:tcPr>
            <w:tcW w:w="1440" w:type="dxa"/>
            <w:vMerge w:val="continue"/>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p>
        </w:tc>
        <w:tc>
          <w:tcPr>
            <w:tcW w:w="2018" w:type="dxa"/>
            <w:vMerge w:val="continue"/>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p>
        </w:tc>
        <w:tc>
          <w:tcPr>
            <w:tcW w:w="720"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全社会</w:t>
            </w:r>
          </w:p>
        </w:tc>
        <w:tc>
          <w:tcPr>
            <w:tcW w:w="709"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特定群众</w:t>
            </w:r>
          </w:p>
        </w:tc>
        <w:tc>
          <w:tcPr>
            <w:tcW w:w="551"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主动</w:t>
            </w:r>
          </w:p>
        </w:tc>
        <w:tc>
          <w:tcPr>
            <w:tcW w:w="720"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依申请公开</w:t>
            </w:r>
          </w:p>
        </w:tc>
        <w:tc>
          <w:tcPr>
            <w:tcW w:w="720"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县级</w:t>
            </w:r>
          </w:p>
        </w:tc>
        <w:tc>
          <w:tcPr>
            <w:tcW w:w="720" w:type="dxa"/>
            <w:noWrap w:val="0"/>
            <w:vAlign w:val="center"/>
          </w:tcPr>
          <w:p>
            <w:pPr>
              <w:widowControl/>
              <w:jc w:val="center"/>
              <w:rPr>
                <w:rFonts w:ascii="宋体" w:hAnsi="宋体" w:eastAsia="黑体" w:cs="宋体"/>
                <w:color w:val="000000" w:themeColor="text1"/>
                <w:kern w:val="0"/>
                <w:sz w:val="22"/>
                <w14:textFill>
                  <w14:solidFill>
                    <w14:schemeClr w14:val="tx1"/>
                  </w14:solidFill>
                </w14:textFill>
              </w:rPr>
            </w:pPr>
            <w:r>
              <w:rPr>
                <w:rFonts w:hint="eastAsia" w:ascii="宋体" w:hAnsi="宋体" w:eastAsia="黑体" w:cs="宋体"/>
                <w:color w:val="000000" w:themeColor="text1"/>
                <w:kern w:val="0"/>
                <w:sz w:val="22"/>
                <w14:textFill>
                  <w14:solidFill>
                    <w14:schemeClr w14:val="tx1"/>
                  </w14:solidFill>
                </w14:textFill>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w:t>
            </w:r>
          </w:p>
        </w:tc>
        <w:tc>
          <w:tcPr>
            <w:tcW w:w="9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部门文件</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农村危房改造相关文件</w:t>
            </w:r>
          </w:p>
        </w:tc>
        <w:tc>
          <w:tcPr>
            <w:tcW w:w="1980" w:type="dxa"/>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文件分类、生成日期、标题、文号、有效性、关键词和具体内容等</w:t>
            </w:r>
          </w:p>
        </w:tc>
        <w:tc>
          <w:tcPr>
            <w:tcW w:w="1800" w:type="dxa"/>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《政府信息公开条例》、《关于全面推进政务公开工作的意见》及其实施细则</w:t>
            </w:r>
          </w:p>
        </w:tc>
        <w:tc>
          <w:tcPr>
            <w:tcW w:w="1402" w:type="dxa"/>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noWrap w:val="0"/>
            <w:vAlign w:val="center"/>
          </w:tcPr>
          <w:p>
            <w:pPr>
              <w:widowControl/>
              <w:jc w:val="left"/>
              <w:rPr>
                <w:rFonts w:ascii="宋体" w:hAnsi="宋体" w:eastAsia="黑体" w:cs="宋体"/>
                <w:color w:val="000000" w:themeColor="text1"/>
                <w:kern w:val="0"/>
                <w:sz w:val="22"/>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2" w:hRule="atLeas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2</w:t>
            </w:r>
          </w:p>
        </w:tc>
        <w:tc>
          <w:tcPr>
            <w:tcW w:w="9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政策解读</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上级政策解读</w:t>
            </w:r>
          </w:p>
        </w:tc>
        <w:tc>
          <w:tcPr>
            <w:tcW w:w="1980" w:type="dxa"/>
            <w:vMerge w:val="restart"/>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着重解读政策措施的背景依据、目标任务、主要内容、涉及范围、执行标准，以及注意事项、关键词诠释、惠民利民举措、新旧政策差异等。</w:t>
            </w:r>
          </w:p>
        </w:tc>
        <w:tc>
          <w:tcPr>
            <w:tcW w:w="1800" w:type="dxa"/>
            <w:vMerge w:val="restart"/>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《政府信息公开条例》、《关于全面推进政务公开工作的意见》及其实施细则</w:t>
            </w:r>
          </w:p>
        </w:tc>
        <w:tc>
          <w:tcPr>
            <w:tcW w:w="1402" w:type="dxa"/>
            <w:vMerge w:val="restart"/>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vMerge w:val="restart"/>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vMerge w:val="restart"/>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vMerge w:val="restart"/>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vMerge w:val="restart"/>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vMerge w:val="restart"/>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vMerge w:val="restart"/>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vMerge w:val="restart"/>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vMerge w:val="restart"/>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3</w:t>
            </w:r>
          </w:p>
        </w:tc>
        <w:tc>
          <w:tcPr>
            <w:tcW w:w="9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本级政策解读</w:t>
            </w:r>
          </w:p>
        </w:tc>
        <w:tc>
          <w:tcPr>
            <w:tcW w:w="1980" w:type="dxa"/>
            <w:vMerge w:val="continue"/>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p>
        </w:tc>
        <w:tc>
          <w:tcPr>
            <w:tcW w:w="1800" w:type="dxa"/>
            <w:vMerge w:val="continue"/>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p>
        </w:tc>
        <w:tc>
          <w:tcPr>
            <w:tcW w:w="1402" w:type="dxa"/>
            <w:vMerge w:val="continue"/>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p>
        </w:tc>
        <w:tc>
          <w:tcPr>
            <w:tcW w:w="1440" w:type="dxa"/>
            <w:vMerge w:val="continue"/>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p>
        </w:tc>
        <w:tc>
          <w:tcPr>
            <w:tcW w:w="2018" w:type="dxa"/>
            <w:vMerge w:val="continue"/>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p>
        </w:tc>
        <w:tc>
          <w:tcPr>
            <w:tcW w:w="720" w:type="dxa"/>
            <w:vMerge w:val="continue"/>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09" w:type="dxa"/>
            <w:vMerge w:val="continue"/>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vMerge w:val="continue"/>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vMerge w:val="continue"/>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vMerge w:val="continue"/>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vMerge w:val="continue"/>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4</w:t>
            </w:r>
          </w:p>
        </w:tc>
        <w:tc>
          <w:tcPr>
            <w:tcW w:w="9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计划实施</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任务分配</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及时公开农村危房改造补助农户名单</w:t>
            </w:r>
          </w:p>
        </w:tc>
        <w:tc>
          <w:tcPr>
            <w:tcW w:w="1800" w:type="dxa"/>
            <w:vMerge w:val="restart"/>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《住房城乡建设部 财政部 国务院扶贫办关于加强和完善建档立卡贫困户等重点对象农村危房改造若干问题的通知》等</w:t>
            </w:r>
          </w:p>
        </w:tc>
        <w:tc>
          <w:tcPr>
            <w:tcW w:w="1402" w:type="dxa"/>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分配结果确定后20个工作日内</w:t>
            </w:r>
          </w:p>
        </w:tc>
        <w:tc>
          <w:tcPr>
            <w:tcW w:w="1440" w:type="dxa"/>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办事大厅、公示栏、便民服务窗口等场所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53" w:hRule="atLeas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5</w:t>
            </w:r>
          </w:p>
        </w:tc>
        <w:tc>
          <w:tcPr>
            <w:tcW w:w="9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组织培训</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组织开展农村建筑工匠培训文件</w:t>
            </w:r>
          </w:p>
        </w:tc>
        <w:tc>
          <w:tcPr>
            <w:tcW w:w="1800" w:type="dxa"/>
            <w:vMerge w:val="continue"/>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6</w:t>
            </w:r>
          </w:p>
        </w:tc>
        <w:tc>
          <w:tcPr>
            <w:tcW w:w="9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条件与标准</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农村危房等级评定标准</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农村危房等级评定相关标准</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7</w:t>
            </w:r>
          </w:p>
        </w:tc>
        <w:tc>
          <w:tcPr>
            <w:tcW w:w="9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农村危房改造对象申请条件</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农村危房改造农户申请条件</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w:t>
            </w:r>
            <w:r>
              <w:rPr>
                <w:rFonts w:hint="eastAsia" w:ascii="宋体" w:hAnsi="宋体" w:eastAsia="仿宋_GB2312"/>
                <w:color w:val="000000" w:themeColor="text1"/>
                <w:sz w:val="18"/>
                <w:szCs w:val="18"/>
                <w14:textFill>
                  <w14:solidFill>
                    <w14:schemeClr w14:val="tx1"/>
                  </w14:solidFill>
                </w14:textFill>
              </w:rPr>
              <w:t>住建</w:t>
            </w:r>
            <w:r>
              <w:rPr>
                <w:rFonts w:hint="eastAsia" w:ascii="宋体" w:hAnsi="宋体" w:eastAsia="仿宋_GB2312"/>
                <w:color w:val="000000" w:themeColor="text1"/>
                <w:sz w:val="18"/>
                <w:szCs w:val="18"/>
                <w:lang w:eastAsia="zh-CN"/>
                <w14:textFill>
                  <w14:solidFill>
                    <w14:schemeClr w14:val="tx1"/>
                  </w14:solidFill>
                </w14:textFill>
              </w:rPr>
              <w:t>局</w:t>
            </w:r>
            <w:r>
              <w:rPr>
                <w:rFonts w:hint="eastAsia" w:ascii="宋体" w:hAnsi="宋体" w:eastAsia="仿宋_GB2312"/>
                <w:color w:val="000000" w:themeColor="text1"/>
                <w:sz w:val="18"/>
                <w:szCs w:val="18"/>
                <w14:textFill>
                  <w14:solidFill>
                    <w14:schemeClr w14:val="tx1"/>
                  </w14:solidFill>
                </w14:textFill>
              </w:rPr>
              <w:t>、</w:t>
            </w:r>
            <w:r>
              <w:rPr>
                <w:rFonts w:hint="eastAsia" w:ascii="宋体" w:hAnsi="宋体" w:eastAsia="仿宋_GB2312"/>
                <w:color w:val="000000" w:themeColor="text1"/>
                <w:sz w:val="18"/>
                <w:szCs w:val="18"/>
                <w:lang w:val="en-US" w:eastAsia="zh-CN"/>
                <w14:textFill>
                  <w14:solidFill>
                    <w14:schemeClr w14:val="tx1"/>
                  </w14:solidFill>
                </w14:textFill>
              </w:rPr>
              <w:t>区</w:t>
            </w:r>
            <w:r>
              <w:rPr>
                <w:rFonts w:hint="eastAsia" w:ascii="宋体" w:hAnsi="宋体" w:eastAsia="仿宋_GB2312"/>
                <w:color w:val="000000" w:themeColor="text1"/>
                <w:sz w:val="18"/>
                <w:szCs w:val="18"/>
                <w14:textFill>
                  <w14:solidFill>
                    <w14:schemeClr w14:val="tx1"/>
                  </w14:solidFill>
                </w14:textFill>
              </w:rPr>
              <w:t>财政</w:t>
            </w:r>
            <w:r>
              <w:rPr>
                <w:rFonts w:hint="eastAsia" w:ascii="宋体" w:hAnsi="宋体" w:eastAsia="仿宋_GB2312"/>
                <w:color w:val="000000" w:themeColor="text1"/>
                <w:sz w:val="18"/>
                <w:szCs w:val="18"/>
                <w:lang w:val="en-US" w:eastAsia="zh-CN"/>
                <w14:textFill>
                  <w14:solidFill>
                    <w14:schemeClr w14:val="tx1"/>
                  </w14:solidFill>
                </w14:textFill>
              </w:rPr>
              <w:t>局</w:t>
            </w:r>
            <w:r>
              <w:rPr>
                <w:rFonts w:hint="eastAsia" w:ascii="宋体" w:hAnsi="宋体" w:eastAsia="仿宋_GB2312"/>
                <w:color w:val="000000" w:themeColor="text1"/>
                <w:sz w:val="18"/>
                <w:szCs w:val="18"/>
                <w14:textFill>
                  <w14:solidFill>
                    <w14:schemeClr w14:val="tx1"/>
                  </w14:solidFill>
                </w14:textFill>
              </w:rPr>
              <w:t>等部门</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8</w:t>
            </w:r>
          </w:p>
        </w:tc>
        <w:tc>
          <w:tcPr>
            <w:tcW w:w="9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条件与标准</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农村危房改造资金补助标准</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农村危房改造资金补助标准</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9</w:t>
            </w:r>
          </w:p>
        </w:tc>
        <w:tc>
          <w:tcPr>
            <w:tcW w:w="9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农村危房改造竣工合格标准</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农村危房改造竣工验收要求</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10</w:t>
            </w:r>
          </w:p>
        </w:tc>
        <w:tc>
          <w:tcPr>
            <w:tcW w:w="9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对象认定</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危改户认定程序</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农村危房改造申请程序</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val="en-US" w:eastAsia="zh-CN"/>
                <w14:textFill>
                  <w14:solidFill>
                    <w14:schemeClr w14:val="tx1"/>
                  </w14:solidFill>
                </w14:textFill>
              </w:rPr>
              <w:t>镇（管理处）</w:t>
            </w:r>
            <w:r>
              <w:rPr>
                <w:rFonts w:hint="eastAsia" w:ascii="宋体" w:hAnsi="宋体" w:eastAsia="仿宋_GB2312"/>
                <w:color w:val="000000" w:themeColor="text1"/>
                <w:sz w:val="18"/>
                <w:szCs w:val="18"/>
                <w14:textFill>
                  <w14:solidFill>
                    <w14:schemeClr w14:val="tx1"/>
                  </w14:solidFill>
                </w14:textFill>
              </w:rPr>
              <w:t>、村委会</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办事大厅、公示栏、便民服务窗口等场所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11</w:t>
            </w:r>
          </w:p>
        </w:tc>
        <w:tc>
          <w:tcPr>
            <w:tcW w:w="900" w:type="dxa"/>
            <w:noWrap w:val="0"/>
            <w:vAlign w:val="center"/>
          </w:tcPr>
          <w:p>
            <w:pPr>
              <w:jc w:val="left"/>
              <w:rPr>
                <w:rFonts w:hint="eastAsia" w:ascii="宋体" w:hAnsi="宋体" w:eastAsia="仿宋_GB2312" w:cs="Times New Roman"/>
                <w:color w:val="000000" w:themeColor="text1"/>
                <w:kern w:val="2"/>
                <w:sz w:val="18"/>
                <w:szCs w:val="18"/>
                <w:lang w:val="en-US" w:eastAsia="zh-CN" w:bidi="ar-SA"/>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对象认定</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认定结果</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认定结果</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办事大厅、公示栏、便民服务窗口等场所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12</w:t>
            </w:r>
          </w:p>
        </w:tc>
        <w:tc>
          <w:tcPr>
            <w:tcW w:w="9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预算管理</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预算编制和执行情况</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预算、预算调整、决算、预算执行情况的报告及报表有关内容，部门预算、决算及报表有关内容</w:t>
            </w:r>
          </w:p>
        </w:tc>
        <w:tc>
          <w:tcPr>
            <w:tcW w:w="18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同上</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经县级人民代表大会、人民代表大会常务委员会批准或财政部门批复后20日内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办事大厅、公示栏、便民服务窗口等场所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13</w:t>
            </w:r>
          </w:p>
        </w:tc>
        <w:tc>
          <w:tcPr>
            <w:tcW w:w="9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决策部署</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决策部署落实情况</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决策部署落实情况等</w:t>
            </w:r>
          </w:p>
        </w:tc>
        <w:tc>
          <w:tcPr>
            <w:tcW w:w="18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《关于全面推进政务公开工作的意见》及其实施细则</w:t>
            </w: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14</w:t>
            </w:r>
          </w:p>
        </w:tc>
        <w:tc>
          <w:tcPr>
            <w:tcW w:w="90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年度任务实施</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年度任务执行情况</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年度工作完成情况等</w:t>
            </w:r>
          </w:p>
        </w:tc>
        <w:tc>
          <w:tcPr>
            <w:tcW w:w="18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信息形成之日起20个工作日内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办事大厅、公示栏、便民服务窗口等场所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15</w:t>
            </w:r>
          </w:p>
        </w:tc>
        <w:tc>
          <w:tcPr>
            <w:tcW w:w="9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舆情收集、热点及关键问题回应</w:t>
            </w: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舆情收集回应</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接受投诉、咨询、建议等联系电话、通信地址等</w:t>
            </w:r>
          </w:p>
        </w:tc>
        <w:tc>
          <w:tcPr>
            <w:tcW w:w="1800" w:type="dxa"/>
            <w:vMerge w:val="restart"/>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《政府信息公开条例》、《关于全面推进政务公开工作的意见》及其实施细则</w:t>
            </w:r>
          </w:p>
        </w:tc>
        <w:tc>
          <w:tcPr>
            <w:tcW w:w="1402" w:type="dxa"/>
            <w:noWrap w:val="0"/>
            <w:vAlign w:val="center"/>
          </w:tcPr>
          <w:p>
            <w:pPr>
              <w:ind w:right="-304" w:rightChars="-145"/>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信息形成之日</w:t>
            </w:r>
          </w:p>
          <w:p>
            <w:pPr>
              <w:ind w:right="-304" w:rightChars="-145"/>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起20个工作日</w:t>
            </w:r>
          </w:p>
          <w:p>
            <w:pPr>
              <w:ind w:right="-304" w:rightChars="-145"/>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内</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noWrap w:val="0"/>
            <w:vAlign w:val="center"/>
          </w:tcPr>
          <w:p>
            <w:pPr>
              <w:widowControl/>
              <w:jc w:val="center"/>
              <w:rPr>
                <w:rFonts w:hint="eastAsia" w:ascii="宋体" w:hAnsi="宋体"/>
                <w:color w:val="000000" w:themeColor="text1"/>
                <w:kern w:val="0"/>
                <w:sz w:val="16"/>
                <w:szCs w:val="16"/>
                <w14:textFill>
                  <w14:solidFill>
                    <w14:schemeClr w14:val="tx1"/>
                  </w14:solidFill>
                </w14:textFill>
              </w:rPr>
            </w:pPr>
            <w:r>
              <w:rPr>
                <w:rFonts w:hint="eastAsia" w:ascii="宋体" w:hAnsi="宋体"/>
                <w:color w:val="000000" w:themeColor="text1"/>
                <w:kern w:val="0"/>
                <w:sz w:val="16"/>
                <w:szCs w:val="16"/>
                <w14:textFill>
                  <w14:solidFill>
                    <w14:schemeClr w14:val="tx1"/>
                  </w14:solidFill>
                </w14:textFill>
              </w:rPr>
              <w:t>16</w:t>
            </w:r>
          </w:p>
        </w:tc>
        <w:tc>
          <w:tcPr>
            <w:tcW w:w="9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26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互动回应</w:t>
            </w:r>
          </w:p>
        </w:tc>
        <w:tc>
          <w:tcPr>
            <w:tcW w:w="198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涉及群众切身利益和舆论关注的焦点、热点及关键问题等回应内容</w:t>
            </w:r>
          </w:p>
        </w:tc>
        <w:tc>
          <w:tcPr>
            <w:tcW w:w="1800" w:type="dxa"/>
            <w:vMerge w:val="continue"/>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p>
        </w:tc>
        <w:tc>
          <w:tcPr>
            <w:tcW w:w="1402"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及时发布信息；对涉及重大舆情的，要快速反应，并根据工作进展情况，持续发布信息。</w:t>
            </w:r>
          </w:p>
        </w:tc>
        <w:tc>
          <w:tcPr>
            <w:tcW w:w="1440" w:type="dxa"/>
            <w:noWrap w:val="0"/>
            <w:vAlign w:val="center"/>
          </w:tcPr>
          <w:p>
            <w:pPr>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lang w:eastAsia="zh-CN"/>
                <w14:textFill>
                  <w14:solidFill>
                    <w14:schemeClr w14:val="tx1"/>
                  </w14:solidFill>
                </w14:textFill>
              </w:rPr>
              <w:t>区住建局</w:t>
            </w:r>
            <w:r>
              <w:rPr>
                <w:rFonts w:hint="eastAsia" w:ascii="宋体" w:hAnsi="宋体" w:eastAsia="仿宋_GB2312"/>
                <w:color w:val="000000" w:themeColor="text1"/>
                <w:sz w:val="18"/>
                <w:szCs w:val="18"/>
                <w14:textFill>
                  <w14:solidFill>
                    <w14:schemeClr w14:val="tx1"/>
                  </w14:solidFill>
                </w14:textFill>
              </w:rPr>
              <w:t>等相关职能部门</w:t>
            </w:r>
          </w:p>
        </w:tc>
        <w:tc>
          <w:tcPr>
            <w:tcW w:w="2018" w:type="dxa"/>
            <w:noWrap w:val="0"/>
            <w:vAlign w:val="center"/>
          </w:tcPr>
          <w:p>
            <w:pPr>
              <w:widowControl/>
              <w:jc w:val="left"/>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政府网站、公示栏等平台和办事大厅、便民服务窗口等场所</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09"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551"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p>
        </w:tc>
        <w:tc>
          <w:tcPr>
            <w:tcW w:w="720" w:type="dxa"/>
            <w:noWrap w:val="0"/>
            <w:vAlign w:val="center"/>
          </w:tcPr>
          <w:p>
            <w:pPr>
              <w:jc w:val="center"/>
              <w:rPr>
                <w:rFonts w:hint="eastAsia" w:ascii="宋体" w:hAnsi="宋体" w:eastAsia="仿宋_GB2312"/>
                <w:color w:val="000000" w:themeColor="text1"/>
                <w:sz w:val="18"/>
                <w:szCs w:val="18"/>
                <w14:textFill>
                  <w14:solidFill>
                    <w14:schemeClr w14:val="tx1"/>
                  </w14:solidFill>
                </w14:textFill>
              </w:rPr>
            </w:pPr>
            <w:r>
              <w:rPr>
                <w:rFonts w:hint="eastAsia" w:ascii="宋体" w:hAnsi="宋体" w:eastAsia="仿宋_GB2312"/>
                <w:color w:val="000000" w:themeColor="text1"/>
                <w:sz w:val="18"/>
                <w:szCs w:val="18"/>
                <w14:textFill>
                  <w14:solidFill>
                    <w14:schemeClr w14:val="tx1"/>
                  </w14:solidFill>
                </w14:textFill>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4139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2020-12-17T07:02:41Z</dcterms:created>
  <dc:creator>郑敏锋</dc:creator>
  <cp:lastModifiedBy>荆棘鸟</cp:lastModifiedBy>
  <dcterms:modified xsi:type="dcterms:W3CDTF">2020-12-17T07:03:03Z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