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tLeast"/>
        <w:jc w:val="center"/>
        <w:textAlignment w:val="auto"/>
        <w:rPr>
          <w:rFonts w:hint="eastAsia" w:ascii="宋体" w:hAnsi="宋体" w:eastAsia="方正小标宋_GBK"/>
          <w:b w:val="0"/>
          <w:bCs w:val="0"/>
          <w:color w:val="000000" w:themeColor="text1"/>
          <w:sz w:val="30"/>
          <w14:textFill>
            <w14:solidFill>
              <w14:schemeClr w14:val="tx1"/>
            </w14:solidFill>
          </w14:textFill>
        </w:rPr>
      </w:pPr>
      <w:r>
        <w:rPr>
          <w:rFonts w:hint="eastAsia" w:ascii="宋体" w:hAnsi="宋体" w:eastAsia="方正小标宋_GBK"/>
          <w:b w:val="0"/>
          <w:bCs w:val="0"/>
          <w:color w:val="000000" w:themeColor="text1"/>
          <w:sz w:val="30"/>
          <w14:textFill>
            <w14:solidFill>
              <w14:schemeClr w14:val="tx1"/>
            </w14:solidFill>
          </w14:textFill>
        </w:rPr>
        <w:t>公共法律服务领域基层政务公开标准目录</w:t>
      </w:r>
      <w:bookmarkStart w:id="0" w:name="_GoBack"/>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widowControl/>
              <w:kinsoku/>
              <w:wordWrap/>
              <w:overflowPunct/>
              <w:topLinePunct w:val="0"/>
              <w:autoSpaceDE/>
              <w:autoSpaceDN/>
              <w:bidi w:val="0"/>
              <w:spacing w:line="240" w:lineRule="atLeast"/>
              <w:jc w:val="center"/>
              <w:rPr>
                <w:rFonts w:hint="eastAsia"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序号</w:t>
            </w:r>
          </w:p>
        </w:tc>
        <w:tc>
          <w:tcPr>
            <w:tcW w:w="2340"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公开事项</w:t>
            </w:r>
          </w:p>
        </w:tc>
        <w:tc>
          <w:tcPr>
            <w:tcW w:w="162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公开内容（要素）</w:t>
            </w:r>
          </w:p>
        </w:tc>
        <w:tc>
          <w:tcPr>
            <w:tcW w:w="198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公开依据</w:t>
            </w:r>
          </w:p>
        </w:tc>
        <w:tc>
          <w:tcPr>
            <w:tcW w:w="180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公开时限</w:t>
            </w:r>
          </w:p>
        </w:tc>
        <w:tc>
          <w:tcPr>
            <w:tcW w:w="90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公开主体</w:t>
            </w:r>
          </w:p>
        </w:tc>
        <w:tc>
          <w:tcPr>
            <w:tcW w:w="2340" w:type="dxa"/>
            <w:vMerge w:val="restart"/>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公开渠道和载体</w:t>
            </w:r>
          </w:p>
        </w:tc>
        <w:tc>
          <w:tcPr>
            <w:tcW w:w="1440"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公开对象</w:t>
            </w:r>
          </w:p>
        </w:tc>
        <w:tc>
          <w:tcPr>
            <w:tcW w:w="1260"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公开方式</w:t>
            </w:r>
          </w:p>
        </w:tc>
        <w:tc>
          <w:tcPr>
            <w:tcW w:w="1260" w:type="dxa"/>
            <w:gridSpan w:val="2"/>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spacing w:line="240" w:lineRule="atLeast"/>
              <w:jc w:val="center"/>
              <w:rPr>
                <w:rFonts w:ascii="宋体" w:hAnsi="宋体"/>
                <w:color w:val="000000" w:themeColor="text1"/>
                <w:kern w:val="0"/>
                <w:sz w:val="22"/>
                <w14:textFill>
                  <w14:solidFill>
                    <w14:schemeClr w14:val="tx1"/>
                  </w14:solidFill>
                </w14:textFill>
              </w:rPr>
            </w:pPr>
          </w:p>
        </w:tc>
        <w:tc>
          <w:tcPr>
            <w:tcW w:w="90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一级事项</w:t>
            </w:r>
          </w:p>
        </w:tc>
        <w:tc>
          <w:tcPr>
            <w:tcW w:w="14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二级事项</w:t>
            </w:r>
          </w:p>
        </w:tc>
        <w:tc>
          <w:tcPr>
            <w:tcW w:w="162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198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180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90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2340" w:type="dxa"/>
            <w:vMerge w:val="continue"/>
            <w:noWrap w:val="0"/>
            <w:vAlign w:val="center"/>
          </w:tcPr>
          <w:p>
            <w:pPr>
              <w:pageBreakBefore w:val="0"/>
              <w:widowControl/>
              <w:kinsoku/>
              <w:wordWrap/>
              <w:overflowPunct/>
              <w:topLinePunct w:val="0"/>
              <w:autoSpaceDE/>
              <w:autoSpaceDN/>
              <w:bidi w:val="0"/>
              <w:spacing w:line="240" w:lineRule="atLeast"/>
              <w:jc w:val="left"/>
              <w:rPr>
                <w:rFonts w:ascii="宋体" w:hAnsi="宋体" w:eastAsia="黑体" w:cs="宋体"/>
                <w:color w:val="000000" w:themeColor="text1"/>
                <w:kern w:val="0"/>
                <w:sz w:val="22"/>
                <w14:textFill>
                  <w14:solidFill>
                    <w14:schemeClr w14:val="tx1"/>
                  </w14:solidFill>
                </w14:textFill>
              </w:rPr>
            </w:pPr>
          </w:p>
        </w:tc>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全社会</w:t>
            </w:r>
          </w:p>
        </w:tc>
        <w:tc>
          <w:tcPr>
            <w:tcW w:w="90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特定群众</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主动</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依申请公开</w:t>
            </w:r>
          </w:p>
        </w:tc>
        <w:tc>
          <w:tcPr>
            <w:tcW w:w="54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县级</w:t>
            </w:r>
          </w:p>
        </w:tc>
        <w:tc>
          <w:tcPr>
            <w:tcW w:w="720" w:type="dxa"/>
            <w:noWrap w:val="0"/>
            <w:vAlign w:val="center"/>
          </w:tcPr>
          <w:p>
            <w:pPr>
              <w:pageBreakBefore w:val="0"/>
              <w:widowControl/>
              <w:kinsoku/>
              <w:wordWrap/>
              <w:overflowPunct/>
              <w:topLinePunct w:val="0"/>
              <w:autoSpaceDE/>
              <w:autoSpaceDN/>
              <w:bidi w:val="0"/>
              <w:spacing w:line="240" w:lineRule="atLeast"/>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p>
        </w:tc>
        <w:tc>
          <w:tcPr>
            <w:tcW w:w="900" w:type="dxa"/>
            <w:vMerge w:val="restart"/>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法治宣传教育</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法律知识普及服务</w:t>
            </w:r>
          </w:p>
        </w:tc>
        <w:tc>
          <w:tcPr>
            <w:tcW w:w="162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法律法规资讯；普法动态资讯；普法讲师团信息等</w:t>
            </w:r>
          </w:p>
        </w:tc>
        <w:tc>
          <w:tcPr>
            <w:tcW w:w="198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《中共中央、国务院转发&lt;中央宣传部、司法部关于在公民中开展法治宣传教育的第七个五年规划（2016－2020年）&gt;》、各省“七五”普法规划</w:t>
            </w:r>
          </w:p>
        </w:tc>
        <w:tc>
          <w:tcPr>
            <w:tcW w:w="18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hint="eastAsia" w:ascii="宋体" w:hAnsi="宋体" w:eastAsia="仿宋_GB2312"/>
                <w:color w:val="000000" w:themeColor="text1"/>
                <w:sz w:val="18"/>
                <w:szCs w:val="18"/>
                <w:lang w:eastAsia="zh-CN"/>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■两微一端</w:t>
            </w:r>
          </w:p>
        </w:tc>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2</w:t>
            </w:r>
          </w:p>
        </w:tc>
        <w:tc>
          <w:tcPr>
            <w:tcW w:w="900" w:type="dxa"/>
            <w:vMerge w:val="continue"/>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推广法治文化服务</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辖区内法治文化阵地信息；法治文化作品、产品</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hint="eastAsia"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■两微一端</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3</w:t>
            </w:r>
          </w:p>
        </w:tc>
        <w:tc>
          <w:tcPr>
            <w:tcW w:w="900" w:type="dxa"/>
            <w:vMerge w:val="continue"/>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对在法治宣传教育工作中做出显著成绩的单位和个人进行表彰奖励</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评选表彰通知；先进集体和个人申报表（空白表）；拟表彰的先进集体先进个人名单；表彰决定</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■两微一端</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4</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法律援助服务</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给予法律援助决定书；不予法律援助决定书；指派通知书</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《法律援助条例》、《</w:t>
            </w:r>
            <w:r>
              <w:rPr>
                <w:rFonts w:hint="eastAsia" w:ascii="宋体" w:hAnsi="宋体" w:eastAsia="仿宋_GB2312"/>
                <w:color w:val="000000" w:themeColor="text1"/>
                <w:sz w:val="18"/>
                <w:szCs w:val="18"/>
                <w:lang w:val="en-US" w:eastAsia="zh-CN"/>
                <w14:textFill>
                  <w14:solidFill>
                    <w14:schemeClr w14:val="tx1"/>
                  </w14:solidFill>
                </w14:textFill>
              </w:rPr>
              <w:t>江西</w:t>
            </w:r>
            <w:r>
              <w:rPr>
                <w:rFonts w:hint="eastAsia" w:ascii="宋体" w:hAnsi="宋体" w:eastAsia="仿宋_GB2312"/>
                <w:color w:val="000000" w:themeColor="text1"/>
                <w:sz w:val="18"/>
                <w:szCs w:val="18"/>
                <w14:textFill>
                  <w14:solidFill>
                    <w14:schemeClr w14:val="tx1"/>
                  </w14:solidFill>
                </w14:textFill>
              </w:rPr>
              <w:t>省法律援助条例》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■精准推送</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法律援助申请人、受指派的律师事务所或其他组织等</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5</w:t>
            </w:r>
          </w:p>
        </w:tc>
        <w:tc>
          <w:tcPr>
            <w:tcW w:w="900" w:type="dxa"/>
            <w:vMerge w:val="restart"/>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法律援助办案人员办案补贴的审核发放</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案件补贴审核发放表</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《法律援助条例》、《</w:t>
            </w:r>
            <w:r>
              <w:rPr>
                <w:rFonts w:hint="eastAsia" w:ascii="宋体" w:hAnsi="宋体" w:eastAsia="仿宋_GB2312"/>
                <w:color w:val="000000" w:themeColor="text1"/>
                <w:sz w:val="18"/>
                <w:szCs w:val="18"/>
                <w:lang w:val="en-US" w:eastAsia="zh-CN"/>
                <w14:textFill>
                  <w14:solidFill>
                    <w14:schemeClr w14:val="tx1"/>
                  </w14:solidFill>
                </w14:textFill>
              </w:rPr>
              <w:t>江西</w:t>
            </w:r>
            <w:r>
              <w:rPr>
                <w:rFonts w:hint="eastAsia" w:ascii="宋体" w:hAnsi="宋体" w:eastAsia="仿宋_GB2312"/>
                <w:color w:val="000000" w:themeColor="text1"/>
                <w:sz w:val="18"/>
                <w:szCs w:val="18"/>
                <w14:textFill>
                  <w14:solidFill>
                    <w14:schemeClr w14:val="tx1"/>
                  </w14:solidFill>
                </w14:textFill>
              </w:rPr>
              <w:t>省法律援助条例》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自收到公开申请之日起20个工作日内公开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 xml:space="preserve">■精准推送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申请人</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6</w:t>
            </w:r>
          </w:p>
        </w:tc>
        <w:tc>
          <w:tcPr>
            <w:tcW w:w="900" w:type="dxa"/>
            <w:vMerge w:val="continue"/>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对法律援助机构不予援助决定异议的审查</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处理决定书</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《法律援助条例》、《</w:t>
            </w:r>
            <w:r>
              <w:rPr>
                <w:rFonts w:hint="eastAsia" w:ascii="宋体" w:hAnsi="宋体" w:eastAsia="仿宋_GB2312"/>
                <w:color w:val="000000" w:themeColor="text1"/>
                <w:sz w:val="18"/>
                <w:szCs w:val="18"/>
                <w:lang w:val="en-US" w:eastAsia="zh-CN"/>
                <w14:textFill>
                  <w14:solidFill>
                    <w14:schemeClr w14:val="tx1"/>
                  </w14:solidFill>
                </w14:textFill>
              </w:rPr>
              <w:t>江西</w:t>
            </w:r>
            <w:r>
              <w:rPr>
                <w:rFonts w:hint="eastAsia" w:ascii="宋体" w:hAnsi="宋体" w:eastAsia="仿宋_GB2312"/>
                <w:color w:val="000000" w:themeColor="text1"/>
                <w:sz w:val="18"/>
                <w:szCs w:val="18"/>
                <w14:textFill>
                  <w14:solidFill>
                    <w14:schemeClr w14:val="tx1"/>
                  </w14:solidFill>
                </w14:textFill>
              </w:rPr>
              <w:t>省法律援助条例》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自收到公开申请之日起20个工作日内公开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■精准推送</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申请人</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7</w:t>
            </w:r>
          </w:p>
        </w:tc>
        <w:tc>
          <w:tcPr>
            <w:tcW w:w="900" w:type="dxa"/>
            <w:vMerge w:val="continue"/>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对在法律援助工作中作出突出贡献的组织和个人进行表彰奖励</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评选表彰通知；先进集体和个人申报表（空白表）；拟表彰的先进集体先进个人名单；表彰决定</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《法律援助条例》、《</w:t>
            </w:r>
            <w:r>
              <w:rPr>
                <w:rFonts w:hint="eastAsia" w:ascii="宋体" w:hAnsi="宋体" w:eastAsia="仿宋_GB2312"/>
                <w:color w:val="000000" w:themeColor="text1"/>
                <w:sz w:val="18"/>
                <w:szCs w:val="18"/>
                <w:lang w:val="en-US" w:eastAsia="zh-CN"/>
                <w14:textFill>
                  <w14:solidFill>
                    <w14:schemeClr w14:val="tx1"/>
                  </w14:solidFill>
                </w14:textFill>
              </w:rPr>
              <w:t>江西</w:t>
            </w:r>
            <w:r>
              <w:rPr>
                <w:rFonts w:hint="eastAsia" w:ascii="宋体" w:hAnsi="宋体" w:eastAsia="仿宋_GB2312"/>
                <w:color w:val="000000" w:themeColor="text1"/>
                <w:sz w:val="18"/>
                <w:szCs w:val="18"/>
                <w14:textFill>
                  <w14:solidFill>
                    <w14:schemeClr w14:val="tx1"/>
                  </w14:solidFill>
                </w14:textFill>
              </w:rPr>
              <w:t>省法律援助条例》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■两微一端</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default"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8</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行政处罚决定或行政处罚决定书</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《法律援助条例》、《</w:t>
            </w:r>
            <w:r>
              <w:rPr>
                <w:rFonts w:hint="eastAsia" w:ascii="宋体" w:hAnsi="宋体" w:eastAsia="仿宋_GB2312"/>
                <w:color w:val="000000" w:themeColor="text1"/>
                <w:sz w:val="18"/>
                <w:szCs w:val="18"/>
                <w:lang w:val="en-US" w:eastAsia="zh-CN"/>
                <w14:textFill>
                  <w14:solidFill>
                    <w14:schemeClr w14:val="tx1"/>
                  </w14:solidFill>
                </w14:textFill>
              </w:rPr>
              <w:t>江西</w:t>
            </w:r>
            <w:r>
              <w:rPr>
                <w:rFonts w:hint="eastAsia" w:ascii="宋体" w:hAnsi="宋体" w:eastAsia="仿宋_GB2312"/>
                <w:color w:val="000000" w:themeColor="text1"/>
                <w:sz w:val="18"/>
                <w:szCs w:val="18"/>
                <w14:textFill>
                  <w14:solidFill>
                    <w14:schemeClr w14:val="tx1"/>
                  </w14:solidFill>
                </w14:textFill>
              </w:rPr>
              <w:t>省法律援助条例》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ascii="宋体" w:hAnsi="宋体" w:eastAsia="仿宋_GB2312"/>
                <w:color w:val="000000" w:themeColor="text1"/>
                <w:sz w:val="18"/>
                <w:szCs w:val="18"/>
                <w14:textFill>
                  <w14:solidFill>
                    <w14:schemeClr w14:val="tx1"/>
                  </w14:solidFill>
                </w14:textFill>
              </w:rPr>
              <w:t xml:space="preserve">两微一端        </w:t>
            </w:r>
            <w:r>
              <w:rPr>
                <w:rFonts w:hint="eastAsia" w:ascii="宋体" w:hAnsi="宋体" w:eastAsia="仿宋_GB2312"/>
                <w:color w:val="000000" w:themeColor="text1"/>
                <w:sz w:val="18"/>
                <w:szCs w:val="18"/>
                <w14:textFill>
                  <w14:solidFill>
                    <w14:schemeClr w14:val="tx1"/>
                  </w14:solidFill>
                </w14:textFill>
              </w:rPr>
              <w:t xml:space="preserve">    </w:t>
            </w:r>
            <w:r>
              <w:rPr>
                <w:rFonts w:ascii="宋体" w:hAnsi="宋体" w:eastAsia="仿宋_GB2312"/>
                <w:color w:val="000000" w:themeColor="text1"/>
                <w:sz w:val="18"/>
                <w:szCs w:val="18"/>
                <w14:textFill>
                  <w14:solidFill>
                    <w14:schemeClr w14:val="tx1"/>
                  </w14:solidFill>
                </w14:textFill>
              </w:rPr>
              <w:t xml:space="preserve">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9</w:t>
            </w:r>
          </w:p>
        </w:tc>
        <w:tc>
          <w:tcPr>
            <w:tcW w:w="900" w:type="dxa"/>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基层</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w:t>
            </w:r>
          </w:p>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服务</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基层法律服务工作者执业核准许可</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不予受理通知书</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《基层法律服务工作者管理办法》</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 xml:space="preserve">■精准推送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申请人</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r>
              <w:rPr>
                <w:rFonts w:hint="eastAsia" w:ascii="宋体" w:hAnsi="宋体" w:eastAsia="仿宋_GB2312"/>
                <w:color w:val="000000" w:themeColor="text1"/>
                <w:sz w:val="18"/>
                <w:szCs w:val="18"/>
                <w:lang w:val="en-US" w:eastAsia="zh-CN"/>
                <w14:textFill>
                  <w14:solidFill>
                    <w14:schemeClr w14:val="tx1"/>
                  </w14:solidFill>
                </w14:textFill>
              </w:rPr>
              <w:t>0</w:t>
            </w:r>
          </w:p>
        </w:tc>
        <w:tc>
          <w:tcPr>
            <w:tcW w:w="900" w:type="dxa"/>
            <w:vMerge w:val="restart"/>
            <w:noWrap w:val="0"/>
            <w:vAlign w:val="center"/>
          </w:tcPr>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基层</w:t>
            </w:r>
          </w:p>
          <w:p>
            <w:pPr>
              <w:pageBreakBefore w:val="0"/>
              <w:kinsoku/>
              <w:wordWrap/>
              <w:overflowPunct/>
              <w:topLinePunct w:val="0"/>
              <w:autoSpaceDE/>
              <w:autoSpaceDN/>
              <w:bidi w:val="0"/>
              <w:spacing w:line="240" w:lineRule="atLeast"/>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w:t>
            </w:r>
          </w:p>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服务</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对基层法律服务所、基层法律服务工作者违法违规行为的处罚</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行政处罚决定或行政处罚决定书</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《基层法律服务所管理办法》、《基层法律服务工作者管理办法》</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ascii="宋体" w:hAnsi="宋体" w:eastAsia="仿宋_GB2312"/>
                <w:color w:val="000000" w:themeColor="text1"/>
                <w:sz w:val="18"/>
                <w:szCs w:val="18"/>
                <w14:textFill>
                  <w14:solidFill>
                    <w14:schemeClr w14:val="tx1"/>
                  </w14:solidFill>
                </w14:textFill>
              </w:rPr>
              <w:t>两微一端</w:t>
            </w:r>
            <w:r>
              <w:rPr>
                <w:rFonts w:hint="eastAsia" w:ascii="宋体" w:hAnsi="宋体" w:eastAsia="仿宋_GB2312"/>
                <w:color w:val="000000" w:themeColor="text1"/>
                <w:sz w:val="18"/>
                <w:szCs w:val="18"/>
                <w14:textFill>
                  <w14:solidFill>
                    <w14:schemeClr w14:val="tx1"/>
                  </w14:solidFill>
                </w14:textFill>
              </w:rPr>
              <w:t xml:space="preserve">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r>
              <w:rPr>
                <w:rFonts w:hint="eastAsia" w:ascii="宋体" w:hAnsi="宋体" w:eastAsia="仿宋_GB2312"/>
                <w:color w:val="000000" w:themeColor="text1"/>
                <w:sz w:val="18"/>
                <w:szCs w:val="18"/>
                <w:lang w:val="en-US" w:eastAsia="zh-CN"/>
                <w14:textFill>
                  <w14:solidFill>
                    <w14:schemeClr w14:val="tx1"/>
                  </w14:solidFill>
                </w14:textFill>
              </w:rPr>
              <w:t>1</w:t>
            </w:r>
          </w:p>
        </w:tc>
        <w:tc>
          <w:tcPr>
            <w:tcW w:w="900" w:type="dxa"/>
            <w:vMerge w:val="continue"/>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对基层法律服务所、基层法律服务工作者进行表彰奖励</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评选表彰通知；先进集体和个人申报表（空白表）；拟表彰的先进集体先进个人名单；表彰决定</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《基层法律服务所管理办法》、《基层法律服务工作者管理办法》</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ascii="宋体" w:hAnsi="宋体" w:eastAsia="仿宋_GB2312"/>
                <w:color w:val="000000" w:themeColor="text1"/>
                <w:sz w:val="18"/>
                <w:szCs w:val="18"/>
                <w14:textFill>
                  <w14:solidFill>
                    <w14:schemeClr w14:val="tx1"/>
                  </w14:solidFill>
                </w14:textFill>
              </w:rPr>
              <w:t>两微一端</w:t>
            </w:r>
            <w:r>
              <w:rPr>
                <w:rFonts w:hint="eastAsia" w:ascii="宋体" w:hAnsi="宋体" w:eastAsia="仿宋_GB2312"/>
                <w:color w:val="000000" w:themeColor="text1"/>
                <w:sz w:val="18"/>
                <w:szCs w:val="18"/>
                <w14:textFill>
                  <w14:solidFill>
                    <w14:schemeClr w14:val="tx1"/>
                  </w14:solidFill>
                </w14:textFill>
              </w:rPr>
              <w:t xml:space="preserve">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r>
              <w:rPr>
                <w:rFonts w:hint="eastAsia" w:ascii="宋体" w:hAnsi="宋体" w:eastAsia="仿宋_GB2312"/>
                <w:color w:val="000000" w:themeColor="text1"/>
                <w:sz w:val="18"/>
                <w:szCs w:val="18"/>
                <w:lang w:val="en-US" w:eastAsia="zh-CN"/>
                <w14:textFill>
                  <w14:solidFill>
                    <w14:schemeClr w14:val="tx1"/>
                  </w14:solidFill>
                </w14:textFill>
              </w:rPr>
              <w:t>2</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人民调解</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对有突出贡献的人民调解委员会和人民调解员按照国家规定给予表彰奖励</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评选表彰通知；先进集体和个人申报表（空白表）；拟表彰的先进集体先进个人名单；</w:t>
            </w:r>
          </w:p>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表彰决定</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《人民调解法》、《</w:t>
            </w:r>
            <w:r>
              <w:rPr>
                <w:rFonts w:hint="eastAsia" w:ascii="宋体" w:hAnsi="宋体" w:eastAsia="仿宋_GB2312"/>
                <w:color w:val="000000" w:themeColor="text1"/>
                <w:sz w:val="18"/>
                <w:szCs w:val="18"/>
                <w:lang w:val="en-US" w:eastAsia="zh-CN"/>
                <w14:textFill>
                  <w14:solidFill>
                    <w14:schemeClr w14:val="tx1"/>
                  </w14:solidFill>
                </w14:textFill>
              </w:rPr>
              <w:t>江西</w:t>
            </w:r>
            <w:r>
              <w:rPr>
                <w:rFonts w:hint="eastAsia" w:ascii="宋体" w:hAnsi="宋体" w:eastAsia="仿宋_GB2312"/>
                <w:color w:val="000000" w:themeColor="text1"/>
                <w:sz w:val="18"/>
                <w:szCs w:val="18"/>
                <w14:textFill>
                  <w14:solidFill>
                    <w14:schemeClr w14:val="tx1"/>
                  </w14:solidFill>
                </w14:textFill>
              </w:rPr>
              <w:t>省人民调解条例》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ascii="宋体" w:hAnsi="宋体" w:eastAsia="仿宋_GB2312"/>
                <w:color w:val="000000" w:themeColor="text1"/>
                <w:sz w:val="18"/>
                <w:szCs w:val="18"/>
                <w14:textFill>
                  <w14:solidFill>
                    <w14:schemeClr w14:val="tx1"/>
                  </w14:solidFill>
                </w14:textFill>
              </w:rPr>
              <w:t>两微一端</w:t>
            </w:r>
            <w:r>
              <w:rPr>
                <w:rFonts w:hint="eastAsia" w:ascii="宋体" w:hAnsi="宋体" w:eastAsia="仿宋_GB2312"/>
                <w:color w:val="000000" w:themeColor="text1"/>
                <w:sz w:val="18"/>
                <w:szCs w:val="18"/>
                <w14:textFill>
                  <w14:solidFill>
                    <w14:schemeClr w14:val="tx1"/>
                  </w14:solidFill>
                </w14:textFill>
              </w:rPr>
              <w:t xml:space="preserve">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r>
              <w:rPr>
                <w:rFonts w:hint="eastAsia" w:ascii="宋体" w:hAnsi="宋体" w:eastAsia="仿宋_GB2312"/>
                <w:color w:val="000000" w:themeColor="text1"/>
                <w:sz w:val="18"/>
                <w:szCs w:val="18"/>
                <w:lang w:val="en-US" w:eastAsia="zh-CN"/>
                <w14:textFill>
                  <w14:solidFill>
                    <w14:schemeClr w14:val="tx1"/>
                  </w14:solidFill>
                </w14:textFill>
              </w:rPr>
              <w:t>3</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法律查询服务</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法律服务机构、人员信息查询服务</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辖区内的律师、公证、基层法律服务、司法鉴定、仲裁、人民调解等法律服务机构和人员有关基本信息、从业信息和信用信息等</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r>
              <w:rPr>
                <w:rFonts w:ascii="宋体" w:hAnsi="宋体" w:eastAsia="仿宋_GB2312"/>
                <w:color w:val="000000" w:themeColor="text1"/>
                <w:sz w:val="18"/>
                <w:szCs w:val="18"/>
                <w14:textFill>
                  <w14:solidFill>
                    <w14:schemeClr w14:val="tx1"/>
                  </w14:solidFill>
                </w14:textFill>
              </w:rPr>
              <w:t>两微一端</w:t>
            </w:r>
            <w:r>
              <w:rPr>
                <w:rFonts w:hint="eastAsia" w:ascii="宋体" w:hAnsi="宋体" w:eastAsia="仿宋_GB2312"/>
                <w:color w:val="000000" w:themeColor="text1"/>
                <w:sz w:val="18"/>
                <w:szCs w:val="18"/>
                <w14:textFill>
                  <w14:solidFill>
                    <w14:schemeClr w14:val="tx1"/>
                  </w14:solidFill>
                </w14:textFill>
              </w:rPr>
              <w:t xml:space="preserve">    </w:t>
            </w: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r>
              <w:rPr>
                <w:rFonts w:hint="eastAsia" w:ascii="宋体" w:hAnsi="宋体" w:eastAsia="仿宋_GB2312"/>
                <w:color w:val="000000" w:themeColor="text1"/>
                <w:sz w:val="18"/>
                <w:szCs w:val="18"/>
                <w:lang w:val="en-US" w:eastAsia="zh-CN"/>
                <w14:textFill>
                  <w14:solidFill>
                    <w14:schemeClr w14:val="tx1"/>
                  </w14:solidFill>
                </w14:textFill>
              </w:rPr>
              <w:t>4</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法律咨询服务</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公共法律服务实体平台、热线平台、网络平台咨询服务</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公共法律服务实体、热线、网络平台法律咨询服务指南</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■其他法律服务网</w:t>
            </w:r>
          </w:p>
          <w:p>
            <w:pPr>
              <w:pageBreakBefore w:val="0"/>
              <w:widowControl/>
              <w:kinsoku/>
              <w:wordWrap/>
              <w:overflowPunct/>
              <w:topLinePunct w:val="0"/>
              <w:autoSpaceDE/>
              <w:autoSpaceDN/>
              <w:bidi w:val="0"/>
              <w:spacing w:line="240" w:lineRule="atLeast"/>
              <w:jc w:val="left"/>
              <w:textAlignment w:val="center"/>
              <w:rPr>
                <w:rFonts w:ascii="宋体" w:hAnsi="宋体" w:eastAsia="仿宋_GB2312" w:cs="Times New Roman"/>
                <w:color w:val="000000" w:themeColor="text1"/>
                <w:kern w:val="2"/>
                <w:sz w:val="18"/>
                <w:szCs w:val="18"/>
                <w:lang w:val="en-US" w:eastAsia="zh-CN" w:bidi="ar-SA"/>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widowControl/>
              <w:kinsoku/>
              <w:wordWrap/>
              <w:overflowPunct/>
              <w:topLinePunct w:val="0"/>
              <w:autoSpaceDE/>
              <w:autoSpaceDN/>
              <w:bidi w:val="0"/>
              <w:spacing w:line="240" w:lineRule="atLeast"/>
              <w:jc w:val="center"/>
              <w:textAlignment w:val="center"/>
              <w:rPr>
                <w:rFonts w:hint="eastAsia" w:ascii="宋体" w:hAnsi="宋体" w:eastAsia="仿宋_GB2312"/>
                <w:color w:val="000000" w:themeColor="text1"/>
                <w:sz w:val="18"/>
                <w:szCs w:val="18"/>
                <w:lang w:val="en-US" w:eastAsia="zh-CN"/>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1</w:t>
            </w:r>
            <w:r>
              <w:rPr>
                <w:rFonts w:hint="eastAsia" w:ascii="宋体" w:hAnsi="宋体" w:eastAsia="仿宋_GB2312"/>
                <w:color w:val="000000" w:themeColor="text1"/>
                <w:sz w:val="18"/>
                <w:szCs w:val="18"/>
                <w:lang w:val="en-US" w:eastAsia="zh-CN"/>
                <w14:textFill>
                  <w14:solidFill>
                    <w14:schemeClr w14:val="tx1"/>
                  </w14:solidFill>
                </w14:textFill>
              </w:rPr>
              <w:t>5</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公共法律服务平台</w:t>
            </w:r>
          </w:p>
        </w:tc>
        <w:tc>
          <w:tcPr>
            <w:tcW w:w="14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公共法律服务实体、热线、网络平台信息</w:t>
            </w:r>
          </w:p>
        </w:tc>
        <w:tc>
          <w:tcPr>
            <w:tcW w:w="1620" w:type="dxa"/>
            <w:noWrap w:val="0"/>
            <w:vAlign w:val="center"/>
          </w:tcPr>
          <w:p>
            <w:pPr>
              <w:pageBreakBefore w:val="0"/>
              <w:tabs>
                <w:tab w:val="center" w:pos="4153"/>
                <w:tab w:val="right" w:pos="8306"/>
              </w:tabs>
              <w:kinsoku/>
              <w:wordWrap/>
              <w:overflowPunct/>
              <w:topLinePunct w:val="0"/>
              <w:autoSpaceDE/>
              <w:autoSpaceDN/>
              <w:bidi w:val="0"/>
              <w:snapToGrid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w:t>
            </w:r>
          </w:p>
        </w:tc>
        <w:tc>
          <w:tcPr>
            <w:tcW w:w="18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自制作或获取该信息之日起20个工作日内公开</w:t>
            </w:r>
          </w:p>
        </w:tc>
        <w:tc>
          <w:tcPr>
            <w:tcW w:w="900" w:type="dxa"/>
            <w:noWrap w:val="0"/>
            <w:vAlign w:val="center"/>
          </w:tcPr>
          <w:p>
            <w:pPr>
              <w:pageBreakBefore w:val="0"/>
              <w:kinsoku/>
              <w:wordWrap/>
              <w:overflowPunct/>
              <w:topLinePunct w:val="0"/>
              <w:autoSpaceDE/>
              <w:autoSpaceDN/>
              <w:bidi w:val="0"/>
              <w:spacing w:line="240" w:lineRule="atLeast"/>
              <w:jc w:val="left"/>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区司法分局</w:t>
            </w:r>
          </w:p>
        </w:tc>
        <w:tc>
          <w:tcPr>
            <w:tcW w:w="2340" w:type="dxa"/>
            <w:noWrap w:val="0"/>
            <w:vAlign w:val="center"/>
          </w:tcPr>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r>
              <w:rPr>
                <w:rFonts w:ascii="宋体" w:hAnsi="宋体" w:eastAsia="仿宋_GB2312"/>
                <w:color w:val="000000" w:themeColor="text1"/>
                <w:sz w:val="18"/>
                <w:szCs w:val="18"/>
                <w14:textFill>
                  <w14:solidFill>
                    <w14:schemeClr w14:val="tx1"/>
                  </w14:solidFill>
                </w14:textFill>
              </w:rPr>
              <w:t>■其他法律服务网</w:t>
            </w:r>
          </w:p>
          <w:p>
            <w:pPr>
              <w:pageBreakBefore w:val="0"/>
              <w:widowControl/>
              <w:kinsoku/>
              <w:wordWrap/>
              <w:overflowPunct/>
              <w:topLinePunct w:val="0"/>
              <w:autoSpaceDE/>
              <w:autoSpaceDN/>
              <w:bidi w:val="0"/>
              <w:spacing w:line="240" w:lineRule="atLeast"/>
              <w:jc w:val="left"/>
              <w:textAlignment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90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p>
        </w:tc>
        <w:tc>
          <w:tcPr>
            <w:tcW w:w="54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spacing w:line="240" w:lineRule="atLeast"/>
              <w:jc w:val="center"/>
              <w:rPr>
                <w:rFonts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B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2020-12-17T03:27:46Z</dcterms:created>
  <dc:creator>郑敏锋</dc:creator>
  <cp:lastModifiedBy>荆棘鸟</cp:lastModifiedBy>
  <dcterms:modified xsi:type="dcterms:W3CDTF">2020-12-17T03:28:08Z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