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056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649"/>
        <w:gridCol w:w="599"/>
        <w:gridCol w:w="916"/>
        <w:gridCol w:w="949"/>
        <w:gridCol w:w="949"/>
        <w:gridCol w:w="732"/>
        <w:gridCol w:w="949"/>
        <w:gridCol w:w="950"/>
        <w:gridCol w:w="950"/>
        <w:gridCol w:w="952"/>
        <w:gridCol w:w="950"/>
        <w:gridCol w:w="950"/>
        <w:gridCol w:w="950"/>
        <w:gridCol w:w="951"/>
        <w:gridCol w:w="895"/>
        <w:gridCol w:w="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88" w:hRule="atLeast"/>
          <w:jc w:val="center"/>
        </w:trPr>
        <w:tc>
          <w:tcPr>
            <w:tcW w:w="1407" w:type="dxa"/>
            <w:gridSpan w:val="2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</w:rPr>
              <w:t>附件2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4056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40"/>
                <w:szCs w:val="40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40"/>
                <w:szCs w:val="40"/>
              </w:rPr>
              <w:t>‗‗‗‗‗‗‗‗（部门</w:t>
            </w:r>
            <w:r>
              <w:rPr>
                <w:rFonts w:hint="eastAsia" w:ascii="宋体" w:hAnsi="Times New Roman" w:eastAsia="宋体" w:cs="Times New Roman"/>
                <w:kern w:val="0"/>
                <w:sz w:val="40"/>
                <w:szCs w:val="40"/>
                <w:lang w:val="en-US" w:eastAsia="zh-CN"/>
              </w:rPr>
              <w:t>/村</w:t>
            </w:r>
            <w:r>
              <w:rPr>
                <w:rFonts w:hint="eastAsia" w:ascii="宋体" w:hAnsi="Times New Roman" w:eastAsia="宋体" w:cs="Times New Roman"/>
                <w:kern w:val="0"/>
                <w:sz w:val="40"/>
                <w:szCs w:val="40"/>
              </w:rPr>
              <w:t>）非法集资风险排查整治总体情况统计表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58" w:type="dxa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298" w:type="dxa"/>
            <w:gridSpan w:val="16"/>
            <w:tcBorders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单位：个、人、万元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200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排查机构数量</w:t>
            </w:r>
          </w:p>
        </w:tc>
        <w:tc>
          <w:tcPr>
            <w:tcW w:w="45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问题机构情况</w:t>
            </w:r>
          </w:p>
        </w:tc>
        <w:tc>
          <w:tcPr>
            <w:tcW w:w="3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整治情况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未整治情况</w:t>
            </w:r>
          </w:p>
        </w:tc>
        <w:tc>
          <w:tcPr>
            <w:tcW w:w="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3" w:hRule="atLeast"/>
          <w:jc w:val="center"/>
        </w:trPr>
        <w:tc>
          <w:tcPr>
            <w:tcW w:w="20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问题</w:t>
            </w:r>
          </w:p>
        </w:tc>
        <w:tc>
          <w:tcPr>
            <w:tcW w:w="73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集资名目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涉及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人数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涉及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金额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采取的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主要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措施</w:t>
            </w:r>
          </w:p>
        </w:tc>
        <w:tc>
          <w:tcPr>
            <w:tcW w:w="9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整改机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构数量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清理机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构数量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立案查处的机构数量</w:t>
            </w:r>
          </w:p>
        </w:tc>
        <w:tc>
          <w:tcPr>
            <w:tcW w:w="9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机构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原因</w:t>
            </w:r>
          </w:p>
        </w:tc>
        <w:tc>
          <w:tcPr>
            <w:tcW w:w="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86" w:hRule="atLeast"/>
          <w:jc w:val="center"/>
        </w:trPr>
        <w:tc>
          <w:tcPr>
            <w:tcW w:w="20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4" w:hRule="atLeast"/>
          <w:jc w:val="center"/>
        </w:trPr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重点领域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民间投融资中介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网络借贷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私募基金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影视文化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批发零售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电子商务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房地产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交易场所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4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各类涉农合作组织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67" w:hRule="atLeast"/>
          <w:jc w:val="center"/>
        </w:trPr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养老服务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辖内其他重点领域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7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0" w:hRule="atLeast"/>
          <w:jc w:val="center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合计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552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填报人：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电话：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05" w:hRule="atLeast"/>
          <w:jc w:val="center"/>
        </w:trPr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  <w:jc w:val="center"/>
        </w:trPr>
        <w:tc>
          <w:tcPr>
            <w:tcW w:w="14056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left="480" w:hanging="480" w:hangingChars="2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注：1.“重点领域”是指非法集资主体所属的行业，包括该行业内合法主体和打着本行业领域名义进行非法集资的情形。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2.“辖内其他重点领域”是指各地结合实际自主确定的其他重点排查整治行业，如行业类型较多可继续向下复制表格。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该栏如空填，需说明理由。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3.“主要问题”中需择要列举排查出的问题，如超范围经营、发布涉嫌非法集资广告资讯、虚假宣传、无办公场所和办公人员或与注册登记不符、设资金池、自融等等，问题列举尽可能详细。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4.“集资名目”是指集资行为宣称的名义或模式，如消费返利、虚拟货币、虚拟任务返利、艺术品收藏、资金互助等。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5.“整改”、“清理”包含拟整改、清理，正在整改、清理及整改、清理完毕等情形。                                                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6.所有数字均保留小数点后2位。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7.合计为“0”的项目需统计合计数。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C41BD"/>
    <w:rsid w:val="5F5C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2019-06-05T09:05:00Z</dcterms:created>
  <dc:creator>琴声悠扬</dc:creator>
  <cp:lastModifiedBy>琴声悠扬</cp:lastModifiedBy>
  <dcterms:modified xsi:type="dcterms:W3CDTF">2019-06-05T09:05:57Z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