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left="0" w:leftChars="0" w:firstLine="0" w:firstLineChars="0"/>
        <w:rPr>
          <w:rFonts w:ascii="宋体" w:hAnsi="宋体"/>
        </w:rPr>
      </w:pPr>
    </w:p>
    <w:p>
      <w:pPr>
        <w:spacing w:line="300" w:lineRule="exact"/>
        <w:rPr>
          <w:rFonts w:ascii="宋体" w:hAnsi="宋体"/>
        </w:rPr>
      </w:pPr>
    </w:p>
    <w:p>
      <w:pPr>
        <w:spacing w:line="300" w:lineRule="exact"/>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5715</wp:posOffset>
                </wp:positionV>
                <wp:extent cx="5590540" cy="1475105"/>
                <wp:effectExtent l="0" t="0" r="0" b="0"/>
                <wp:wrapNone/>
                <wp:docPr id="2" name="矩形 2"/>
                <wp:cNvGraphicFramePr/>
                <a:graphic xmlns:a="http://schemas.openxmlformats.org/drawingml/2006/main">
                  <a:graphicData uri="http://schemas.microsoft.com/office/word/2010/wordprocessingShape">
                    <wps:wsp>
                      <wps:cNvSpPr/>
                      <wps:spPr>
                        <a:xfrm>
                          <a:off x="0" y="0"/>
                          <a:ext cx="5590540" cy="1475105"/>
                        </a:xfrm>
                        <a:prstGeom prst="rect">
                          <a:avLst/>
                        </a:prstGeom>
                        <a:noFill/>
                        <a:ln w="9525">
                          <a:noFill/>
                        </a:ln>
                        <a:effectLst/>
                      </wps:spPr>
                      <wps:txbx>
                        <w:txbxContent>
                          <w:p>
                            <w:pPr>
                              <w:ind w:left="0" w:leftChars="0" w:firstLine="0" w:firstLineChars="0"/>
                              <w:jc w:val="both"/>
                              <w:rPr>
                                <w:rFonts w:ascii="华文中宋" w:hAnsi="华文中宋" w:eastAsia="华文中宋" w:cs="华文中宋"/>
                                <w:spacing w:val="-6"/>
                                <w:w w:val="81"/>
                                <w:kern w:val="0"/>
                                <w:sz w:val="96"/>
                                <w:szCs w:val="96"/>
                              </w:rPr>
                            </w:pPr>
                            <w:r>
                              <w:rPr>
                                <w:rFonts w:hint="eastAsia" w:ascii="华文中宋" w:hAnsi="华文中宋" w:eastAsia="华文中宋" w:cs="华文中宋"/>
                                <w:b/>
                                <w:color w:val="FF0000"/>
                                <w:spacing w:val="-23"/>
                                <w:w w:val="55"/>
                                <w:kern w:val="0"/>
                                <w:sz w:val="146"/>
                                <w:szCs w:val="146"/>
                              </w:rPr>
                              <w:t>赣州蓉江新区经济发展局文件文就文件</w:t>
                            </w:r>
                          </w:p>
                        </w:txbxContent>
                      </wps:txbx>
                      <wps:bodyPr/>
                    </wps:wsp>
                  </a:graphicData>
                </a:graphic>
              </wp:anchor>
            </w:drawing>
          </mc:Choice>
          <mc:Fallback>
            <w:pict>
              <v:rect id="_x0000_s1026" o:spid="_x0000_s1026" o:spt="1" style="position:absolute;left:0pt;margin-left:-0.65pt;margin-top:0.45pt;height:116.15pt;width:440.2pt;z-index:251658240;mso-width-relative:page;mso-height-relative:page;" filled="f" stroked="f" coordsize="21600,21600" o:gfxdata="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FEiHF2AAAAAcBAAAPAAAAAAAAAAEAIAAAACIAAABkcnMvZG93bnJldi54&#10;bWxQSwECFAAUAAAACACHTuJA87OLx4gBAAD/AgAADgAAAAAAAAABACAAAAAnAQAAZHJzL2Uyb0Rv&#10;Yy54bWxQSwUGAAAAAAYABgBZAQAAIQUAAAAA&#10;">
                <v:fill on="f" focussize="0,0"/>
                <v:stroke on="f"/>
                <v:imagedata o:title=""/>
                <o:lock v:ext="edit" aspectratio="f"/>
                <v:textbox>
                  <w:txbxContent>
                    <w:p>
                      <w:pPr>
                        <w:ind w:left="0" w:leftChars="0" w:firstLine="0" w:firstLineChars="0"/>
                        <w:jc w:val="both"/>
                        <w:rPr>
                          <w:rFonts w:ascii="华文中宋" w:hAnsi="华文中宋" w:eastAsia="华文中宋" w:cs="华文中宋"/>
                          <w:spacing w:val="-6"/>
                          <w:w w:val="81"/>
                          <w:kern w:val="0"/>
                          <w:sz w:val="96"/>
                          <w:szCs w:val="96"/>
                        </w:rPr>
                      </w:pPr>
                      <w:r>
                        <w:rPr>
                          <w:rFonts w:hint="eastAsia" w:ascii="华文中宋" w:hAnsi="华文中宋" w:eastAsia="华文中宋" w:cs="华文中宋"/>
                          <w:b/>
                          <w:color w:val="FF0000"/>
                          <w:spacing w:val="-23"/>
                          <w:w w:val="55"/>
                          <w:kern w:val="0"/>
                          <w:sz w:val="146"/>
                          <w:szCs w:val="146"/>
                        </w:rPr>
                        <w:t>赣州蓉江新区经济发展局文件文就文件</w:t>
                      </w:r>
                    </w:p>
                  </w:txbxContent>
                </v:textbox>
              </v:rect>
            </w:pict>
          </mc:Fallback>
        </mc:AlternateContent>
      </w:r>
    </w:p>
    <w:p>
      <w:pPr>
        <w:rPr>
          <w:rFonts w:ascii="宋体" w:hAnsi="宋体"/>
        </w:rPr>
      </w:pPr>
    </w:p>
    <w:p>
      <w:pPr>
        <w:rPr>
          <w:rFonts w:ascii="宋体" w:hAnsi="宋体"/>
        </w:rPr>
      </w:pPr>
    </w:p>
    <w:p>
      <w:pPr>
        <w:rPr>
          <w:rFonts w:ascii="宋体" w:hAnsi="宋体"/>
        </w:rPr>
      </w:pPr>
    </w:p>
    <w:p>
      <w:pPr>
        <w:tabs>
          <w:tab w:val="left" w:pos="2341"/>
        </w:tabs>
        <w:ind w:left="0" w:leftChars="0" w:firstLine="0" w:firstLineChars="0"/>
        <w:jc w:val="center"/>
        <w:rPr>
          <w:rFonts w:hint="eastAsia" w:ascii="宋体" w:hAnsi="宋体" w:eastAsia="仿宋_GB2312" w:cs="仿宋_GB2312"/>
        </w:rPr>
      </w:pPr>
      <w:r>
        <w:rPr>
          <w:rFonts w:hint="eastAsia" w:ascii="宋体" w:hAnsi="宋体" w:eastAsia="仿宋_GB2312" w:cs="仿宋_GB2312"/>
        </w:rPr>
        <w:t>赣蓉经发字〔</w:t>
      </w:r>
      <w:r>
        <w:rPr>
          <w:rFonts w:hint="eastAsia" w:ascii="宋体" w:hAnsi="宋体" w:eastAsia="仿宋_GB2312" w:cs="仿宋_GB2312"/>
          <w:lang w:val="en-US" w:eastAsia="zh-CN"/>
        </w:rPr>
        <w:t>20</w:t>
      </w:r>
      <w:r>
        <w:rPr>
          <w:rFonts w:hint="eastAsia" w:ascii="宋体" w:hAnsi="宋体" w:cs="仿宋_GB2312"/>
          <w:lang w:val="en-US" w:eastAsia="zh-CN"/>
        </w:rPr>
        <w:t>20</w:t>
      </w:r>
      <w:r>
        <w:rPr>
          <w:rFonts w:hint="eastAsia" w:ascii="宋体" w:hAnsi="宋体" w:eastAsia="仿宋_GB2312" w:cs="仿宋_GB2312"/>
        </w:rPr>
        <w:t>〕</w:t>
      </w:r>
      <w:r>
        <w:rPr>
          <w:rFonts w:hint="eastAsia" w:ascii="宋体" w:hAnsi="宋体" w:cs="仿宋_GB2312"/>
          <w:lang w:val="en-US" w:eastAsia="zh-CN"/>
        </w:rPr>
        <w:t>30</w:t>
      </w:r>
      <w:r>
        <w:rPr>
          <w:rFonts w:hint="eastAsia" w:ascii="宋体" w:hAnsi="宋体" w:eastAsia="仿宋_GB2312" w:cs="仿宋_GB2312"/>
        </w:rPr>
        <w:t>号</w:t>
      </w:r>
    </w:p>
    <w:p>
      <w:pPr>
        <w:keepNext w:val="0"/>
        <w:keepLines w:val="0"/>
        <w:pageBreakBefore w:val="0"/>
        <w:widowControl w:val="0"/>
        <w:kinsoku/>
        <w:topLinePunct w:val="0"/>
        <w:autoSpaceDE/>
        <w:autoSpaceDN/>
        <w:bidi w:val="0"/>
        <w:adjustRightInd/>
        <w:snapToGrid/>
        <w:spacing w:line="600" w:lineRule="exact"/>
        <w:jc w:val="center"/>
        <w:textAlignment w:val="auto"/>
        <w:rPr>
          <w:rFonts w:hint="eastAsia"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37465</wp:posOffset>
                </wp:positionV>
                <wp:extent cx="5738495" cy="15875"/>
                <wp:effectExtent l="0" t="1270" r="14605" b="20955"/>
                <wp:wrapNone/>
                <wp:docPr id="3" name="直接连接符 3"/>
                <wp:cNvGraphicFramePr/>
                <a:graphic xmlns:a="http://schemas.openxmlformats.org/drawingml/2006/main">
                  <a:graphicData uri="http://schemas.microsoft.com/office/word/2010/wordprocessingShape">
                    <wps:wsp>
                      <wps:cNvCnPr/>
                      <wps:spPr>
                        <a:xfrm flipV="1">
                          <a:off x="0" y="0"/>
                          <a:ext cx="5738495" cy="1587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7.65pt;margin-top:2.95pt;height:1.25pt;width:451.85pt;z-index:251659264;mso-width-relative:page;mso-height-relative:page;" filled="f" stroked="t" coordsize="21600,21600" o:gfxdata="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T6aOdcAAAAH&#10;AQAADwAAAAAAAAABACAAAAAiAAAAZHJzL2Rvd25yZXYueG1sUEsBAhQAFAAAAAgAh07iQMHEjALk&#10;AQAApwMAAA4AAAAAAAAAAQAgAAAAJgEAAGRycy9lMm9Eb2MueG1sUEsFBgAAAAAGAAYAWQEAAHwF&#10;A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640" w:lineRule="exact"/>
        <w:ind w:left="0" w:leftChars="0" w:firstLine="0" w:firstLineChars="0"/>
        <w:jc w:val="center"/>
        <w:textAlignment w:val="auto"/>
        <w:rPr>
          <w:rFonts w:hint="eastAsia" w:ascii="宋体" w:hAnsi="宋体" w:eastAsia="方正小标宋简体" w:cs="Times New Roman"/>
          <w:sz w:val="44"/>
          <w:szCs w:val="44"/>
          <w:lang w:val="en-US" w:eastAsia="zh-CN"/>
        </w:rPr>
      </w:pPr>
      <w:r>
        <w:rPr>
          <w:rFonts w:hint="eastAsia" w:ascii="宋体" w:hAnsi="宋体" w:eastAsia="方正小标宋简体" w:cs="Times New Roman"/>
          <w:sz w:val="44"/>
          <w:szCs w:val="44"/>
          <w:lang w:val="en-US" w:eastAsia="zh-CN"/>
        </w:rPr>
        <w:t>关于做好“六稳”工作落实“六保”任务</w:t>
      </w:r>
    </w:p>
    <w:p>
      <w:pPr>
        <w:keepNext w:val="0"/>
        <w:keepLines w:val="0"/>
        <w:pageBreakBefore w:val="0"/>
        <w:widowControl w:val="0"/>
        <w:kinsoku/>
        <w:wordWrap/>
        <w:overflowPunct w:val="0"/>
        <w:topLinePunct w:val="0"/>
        <w:autoSpaceDE/>
        <w:autoSpaceDN/>
        <w:bidi w:val="0"/>
        <w:adjustRightInd/>
        <w:snapToGrid/>
        <w:spacing w:line="640" w:lineRule="exact"/>
        <w:ind w:left="0" w:leftChars="0" w:firstLine="0" w:firstLineChars="0"/>
        <w:jc w:val="center"/>
        <w:textAlignment w:val="auto"/>
        <w:rPr>
          <w:rFonts w:hint="default" w:ascii="宋体" w:hAnsi="宋体" w:eastAsia="方正小标宋简体" w:cs="Times New Roman"/>
          <w:sz w:val="44"/>
          <w:szCs w:val="44"/>
          <w:lang w:val="en-US" w:eastAsia="zh-CN"/>
        </w:rPr>
      </w:pPr>
      <w:r>
        <w:rPr>
          <w:rFonts w:hint="eastAsia" w:ascii="宋体" w:hAnsi="宋体" w:eastAsia="方正小标宋简体" w:cs="Times New Roman"/>
          <w:sz w:val="44"/>
          <w:szCs w:val="44"/>
          <w:lang w:val="en-US" w:eastAsia="zh-CN"/>
        </w:rPr>
        <w:t>责任分工的通知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潭东镇、潭口镇人民政府，高校园区管理处，区直各部门，区属、驻区各单位：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根据赣州市人民政府办公室《关于做好“六稳”工作落实“六保”任务的若干措施的通知》（赣市府办字〔2020〕45号）文件精神，现梳理出涉及我区的重点工作，并进行责任分工，请你们主动对标认领任务，并抓好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各责任单位要根据工作职责建立台账，优化举措，狠抓落实，以稳保稳，促进经济平稳发展。每月调度责任分工落实情况，从2020年7月起，每月28日之前报送至区经发局。邮箱：</w:t>
      </w:r>
      <w:r>
        <w:rPr>
          <w:rFonts w:hint="eastAsia" w:ascii="宋体" w:hAnsi="宋体" w:eastAsia="仿宋_GB2312" w:cs="Times New Roman"/>
          <w:sz w:val="32"/>
          <w:szCs w:val="32"/>
          <w:lang w:val="en-US" w:eastAsia="zh-CN"/>
        </w:rPr>
        <w:fldChar w:fldCharType="begin"/>
      </w:r>
      <w:r>
        <w:rPr>
          <w:rFonts w:hint="eastAsia" w:ascii="宋体" w:hAnsi="宋体" w:eastAsia="仿宋_GB2312" w:cs="Times New Roman"/>
          <w:sz w:val="32"/>
          <w:szCs w:val="32"/>
          <w:lang w:val="en-US" w:eastAsia="zh-CN"/>
        </w:rPr>
        <w:instrText xml:space="preserve"> HYPERLINK "mailto:rjxqjfj@163.com" </w:instrText>
      </w:r>
      <w:r>
        <w:rPr>
          <w:rFonts w:hint="eastAsia" w:ascii="宋体" w:hAnsi="宋体" w:eastAsia="仿宋_GB2312" w:cs="Times New Roman"/>
          <w:sz w:val="32"/>
          <w:szCs w:val="32"/>
          <w:lang w:val="en-US" w:eastAsia="zh-CN"/>
        </w:rPr>
        <w:fldChar w:fldCharType="separate"/>
      </w:r>
      <w:r>
        <w:rPr>
          <w:rFonts w:hint="eastAsia" w:ascii="宋体" w:hAnsi="宋体" w:eastAsia="仿宋_GB2312" w:cs="Times New Roman"/>
          <w:sz w:val="32"/>
          <w:szCs w:val="32"/>
          <w:lang w:val="en-US" w:eastAsia="zh-CN"/>
        </w:rPr>
        <w:t>rjxqjfj@163.com</w:t>
      </w:r>
      <w:r>
        <w:rPr>
          <w:rFonts w:hint="eastAsia" w:ascii="宋体" w:hAnsi="宋体" w:eastAsia="仿宋_GB2312" w:cs="Times New Roman"/>
          <w:sz w:val="32"/>
          <w:szCs w:val="32"/>
          <w:lang w:val="en-US" w:eastAsia="zh-CN"/>
        </w:rPr>
        <w:fldChar w:fldCharType="end"/>
      </w:r>
      <w:r>
        <w:rPr>
          <w:rFonts w:hint="eastAsia" w:ascii="宋体" w:hAnsi="宋体" w:eastAsia="仿宋_GB2312" w:cs="Times New Roman"/>
          <w:sz w:val="32"/>
          <w:szCs w:val="32"/>
          <w:lang w:val="en-US" w:eastAsia="zh-CN"/>
        </w:rPr>
        <w:t>；联系人：崔文俊，联系电话：8162039。</w:t>
      </w:r>
    </w:p>
    <w:p>
      <w:pPr>
        <w:keepNext w:val="0"/>
        <w:keepLines w:val="0"/>
        <w:pageBreakBefore w:val="0"/>
        <w:widowControl w:val="0"/>
        <w:kinsoku/>
        <w:wordWrap/>
        <w:overflowPunct/>
        <w:topLinePunct w:val="0"/>
        <w:autoSpaceDE/>
        <w:autoSpaceDN/>
        <w:bidi w:val="0"/>
        <w:adjustRightInd/>
        <w:snapToGrid/>
        <w:spacing w:line="600" w:lineRule="exact"/>
        <w:ind w:left="1600" w:leftChars="200" w:hanging="960" w:hangingChars="300"/>
        <w:textAlignment w:val="auto"/>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附件：赣州蓉江新区做好“六稳”工作落实“六保”任务责任分工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赣州蓉江新区经济发展局</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 xml:space="preserve">                                2020年7月20日  </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仿宋_GB2312" w:cs="Times New Roman"/>
          <w:sz w:val="32"/>
          <w:szCs w:val="32"/>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赣州蓉江新区做好“六稳”工作落实“六保”任务责任分工</w:t>
      </w:r>
    </w:p>
    <w:tbl>
      <w:tblPr>
        <w:tblW w:w="148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0" w:type="dxa"/>
          <w:bottom w:w="0" w:type="dxa"/>
          <w:right w:w="0" w:type="dxa"/>
        </w:tblCellMar>
      </w:tblPr>
      <w:tblGrid>
        <w:gridCol w:w="688"/>
        <w:gridCol w:w="995"/>
        <w:gridCol w:w="5251"/>
        <w:gridCol w:w="1649"/>
        <w:gridCol w:w="6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688" w:type="dxa"/>
            <w:tcBorders>
              <w:tl2br w:val="nil"/>
              <w:tr2bl w:val="nil"/>
            </w:tcBorders>
            <w:shd w:val="clear"/>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top"/>
              <w:rPr>
                <w:rFonts w:hint="eastAsia" w:ascii="宋体" w:hAnsi="宋体" w:eastAsia="黑体" w:cs="黑体"/>
                <w:i w:val="0"/>
                <w:color w:val="000000"/>
                <w:sz w:val="28"/>
                <w:szCs w:val="28"/>
                <w:u w:val="none"/>
              </w:rPr>
            </w:pPr>
            <w:r>
              <w:rPr>
                <w:rFonts w:hint="eastAsia" w:ascii="宋体" w:hAnsi="宋体" w:eastAsia="黑体" w:cs="黑体"/>
                <w:i w:val="0"/>
                <w:color w:val="000000"/>
                <w:kern w:val="0"/>
                <w:sz w:val="28"/>
                <w:szCs w:val="28"/>
                <w:u w:val="none"/>
                <w:bdr w:val="none" w:color="auto" w:sz="0" w:space="0"/>
                <w:lang w:val="en-US" w:eastAsia="zh-CN" w:bidi="ar"/>
              </w:rPr>
              <w:t>序号</w:t>
            </w:r>
          </w:p>
        </w:tc>
        <w:tc>
          <w:tcPr>
            <w:tcW w:w="995" w:type="dxa"/>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黑体" w:cs="黑体"/>
                <w:i w:val="0"/>
                <w:color w:val="000000"/>
                <w:sz w:val="28"/>
                <w:szCs w:val="28"/>
                <w:u w:val="none"/>
              </w:rPr>
            </w:pPr>
          </w:p>
        </w:tc>
        <w:tc>
          <w:tcPr>
            <w:tcW w:w="5251" w:type="dxa"/>
            <w:tcBorders>
              <w:tl2br w:val="nil"/>
              <w:tr2bl w:val="nil"/>
            </w:tcBorders>
            <w:shd w:val="clear"/>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top"/>
              <w:rPr>
                <w:rFonts w:hint="eastAsia" w:ascii="宋体" w:hAnsi="宋体" w:eastAsia="黑体" w:cs="黑体"/>
                <w:i w:val="0"/>
                <w:color w:val="000000"/>
                <w:sz w:val="28"/>
                <w:szCs w:val="28"/>
                <w:u w:val="none"/>
              </w:rPr>
            </w:pPr>
            <w:r>
              <w:rPr>
                <w:rFonts w:hint="eastAsia" w:ascii="宋体" w:hAnsi="宋体" w:eastAsia="黑体" w:cs="黑体"/>
                <w:i w:val="0"/>
                <w:color w:val="000000"/>
                <w:kern w:val="0"/>
                <w:sz w:val="28"/>
                <w:szCs w:val="28"/>
                <w:u w:val="none"/>
                <w:bdr w:val="none" w:color="auto" w:sz="0" w:space="0"/>
                <w:lang w:val="en-US" w:eastAsia="zh-CN" w:bidi="ar"/>
              </w:rPr>
              <w:t>具体措施</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黑体" w:cs="黑体"/>
                <w:i w:val="0"/>
                <w:color w:val="000000"/>
                <w:sz w:val="28"/>
                <w:szCs w:val="28"/>
                <w:u w:val="none"/>
              </w:rPr>
            </w:pPr>
            <w:r>
              <w:rPr>
                <w:rFonts w:hint="eastAsia" w:ascii="宋体" w:hAnsi="宋体" w:eastAsia="黑体" w:cs="黑体"/>
                <w:i w:val="0"/>
                <w:color w:val="000000"/>
                <w:kern w:val="0"/>
                <w:sz w:val="28"/>
                <w:szCs w:val="28"/>
                <w:u w:val="none"/>
                <w:bdr w:val="none" w:color="auto" w:sz="0" w:space="0"/>
                <w:lang w:val="en-US" w:eastAsia="zh-CN" w:bidi="ar"/>
              </w:rPr>
              <w:t>责任单位</w:t>
            </w:r>
          </w:p>
        </w:tc>
        <w:tc>
          <w:tcPr>
            <w:tcW w:w="6224"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黑体" w:cs="黑体"/>
                <w:i w:val="0"/>
                <w:color w:val="000000"/>
                <w:sz w:val="28"/>
                <w:szCs w:val="28"/>
                <w:u w:val="none"/>
              </w:rPr>
            </w:pPr>
            <w:r>
              <w:rPr>
                <w:rFonts w:hint="eastAsia" w:ascii="宋体" w:hAnsi="宋体" w:eastAsia="黑体" w:cs="黑体"/>
                <w:i w:val="0"/>
                <w:color w:val="000000"/>
                <w:kern w:val="0"/>
                <w:sz w:val="28"/>
                <w:szCs w:val="28"/>
                <w:u w:val="none"/>
                <w:bdr w:val="none" w:color="auto" w:sz="0" w:space="0"/>
                <w:lang w:val="en-US" w:eastAsia="zh-CN" w:bidi="ar"/>
              </w:rPr>
              <w:t>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jc w:val="center"/>
        </w:trPr>
        <w:tc>
          <w:tcPr>
            <w:tcW w:w="688"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1</w:t>
            </w:r>
          </w:p>
        </w:tc>
        <w:tc>
          <w:tcPr>
            <w:tcW w:w="995" w:type="dxa"/>
            <w:vMerge w:val="restart"/>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一、保居民就业</w:t>
            </w: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加大援企稳岗返还力度。</w:t>
            </w:r>
            <w:r>
              <w:rPr>
                <w:rStyle w:val="18"/>
                <w:rFonts w:hint="eastAsia" w:ascii="宋体" w:hAnsi="宋体" w:eastAsia="仿宋_GB2312" w:cs="仿宋_GB2312"/>
                <w:bdr w:val="none" w:color="auto" w:sz="0" w:space="0"/>
                <w:lang w:val="en-US" w:eastAsia="zh-CN" w:bidi="ar"/>
              </w:rPr>
              <w:t>加快落实失业保险稳岗返还政策，支持参保企业不裁员、少裁员。其中对裁员(减员)率不高于5.5％的中小微企业，2020年12月31日前返还其上年度实际缴纳失业保险费的100％(对已申领一般企业稳岗返还的企业补齐差额部分)。全年返还企业失业保险费3000万元以上。</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区党群部、区财政局</w:t>
            </w:r>
          </w:p>
        </w:tc>
        <w:tc>
          <w:tcPr>
            <w:tcW w:w="6224" w:type="dxa"/>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jc w:val="center"/>
        </w:trPr>
        <w:tc>
          <w:tcPr>
            <w:tcW w:w="688"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2</w:t>
            </w:r>
          </w:p>
        </w:tc>
        <w:tc>
          <w:tcPr>
            <w:tcW w:w="995" w:type="dxa"/>
            <w:vMerge w:val="continue"/>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仿宋_GB2312" w:cs="仿宋_GB2312"/>
                <w:b/>
                <w:i w:val="0"/>
                <w:color w:val="000000"/>
                <w:sz w:val="22"/>
                <w:szCs w:val="22"/>
                <w:u w:val="none"/>
              </w:rPr>
            </w:pP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拓宽以工代训范围。</w:t>
            </w:r>
            <w:r>
              <w:rPr>
                <w:rStyle w:val="18"/>
                <w:rFonts w:hint="eastAsia" w:ascii="宋体" w:hAnsi="宋体" w:eastAsia="仿宋_GB2312" w:cs="仿宋_GB2312"/>
                <w:bdr w:val="none" w:color="auto" w:sz="0" w:space="0"/>
                <w:lang w:val="en-US" w:eastAsia="zh-CN" w:bidi="ar"/>
              </w:rPr>
              <w:t>对与中小微企业签订 6 个月及以上期限劳动合同的新招用就业困难人员（含零就业家庭成员）、离校2年内高校毕业生、登记失业人员就业，并通过岗位实践提升技能开展以工代训的，在同一家企业连续工作时间每满1个月，给予企业 600元／人／月的职业培训补贴，补贴期限最长不超过6个月。</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区党群部、区社管局、区财政局</w:t>
            </w:r>
          </w:p>
        </w:tc>
        <w:tc>
          <w:tcPr>
            <w:tcW w:w="6224" w:type="dxa"/>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123" w:hRule="atLeast"/>
          <w:jc w:val="center"/>
        </w:trPr>
        <w:tc>
          <w:tcPr>
            <w:tcW w:w="688"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3</w:t>
            </w:r>
          </w:p>
        </w:tc>
        <w:tc>
          <w:tcPr>
            <w:tcW w:w="995" w:type="dxa"/>
            <w:vMerge w:val="restart"/>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lang w:val="en-US" w:eastAsia="zh-CN" w:bidi="ar"/>
              </w:rPr>
              <w:t>一、保居民就业</w:t>
            </w: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实施社会保险补贴。</w:t>
            </w:r>
            <w:r>
              <w:rPr>
                <w:rStyle w:val="18"/>
                <w:rFonts w:hint="eastAsia" w:ascii="宋体" w:hAnsi="宋体" w:eastAsia="仿宋_GB2312" w:cs="仿宋_GB2312"/>
                <w:bdr w:val="none" w:color="auto" w:sz="0" w:space="0"/>
                <w:lang w:val="en-US" w:eastAsia="zh-CN" w:bidi="ar"/>
              </w:rPr>
              <w:t>登记失业的就业困难人员和离校2年内未就业高校毕业生，通过地摊经济、小店经济等实现灵活就 业并缴纳社会保险费的，给予不超过实际缴费2/3的社会保险补贴，就业困难人员补贴期限最长不超过3年，离校2年内未就业的高校毕业生补贴期限最长不超过2年。</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区党群部、区社管局、区财政局</w:t>
            </w:r>
          </w:p>
        </w:tc>
        <w:tc>
          <w:tcPr>
            <w:tcW w:w="6224" w:type="dxa"/>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3038" w:hRule="atLeast"/>
          <w:jc w:val="center"/>
        </w:trPr>
        <w:tc>
          <w:tcPr>
            <w:tcW w:w="688"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4</w:t>
            </w:r>
          </w:p>
        </w:tc>
        <w:tc>
          <w:tcPr>
            <w:tcW w:w="995" w:type="dxa"/>
            <w:vMerge w:val="continue"/>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仿宋_GB2312" w:cs="仿宋_GB2312"/>
                <w:b/>
                <w:i w:val="0"/>
                <w:color w:val="000000"/>
                <w:sz w:val="22"/>
                <w:szCs w:val="22"/>
                <w:u w:val="none"/>
              </w:rPr>
            </w:pP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保障重点群体就业创业。</w:t>
            </w:r>
            <w:r>
              <w:rPr>
                <w:rStyle w:val="18"/>
                <w:rFonts w:hint="eastAsia" w:ascii="宋体" w:hAnsi="宋体" w:eastAsia="仿宋_GB2312" w:cs="仿宋_GB2312"/>
                <w:bdr w:val="none" w:color="auto" w:sz="0" w:space="0"/>
                <w:lang w:val="en-US" w:eastAsia="zh-CN" w:bidi="ar"/>
              </w:rPr>
              <w:t>各行政村、贫困村在疫情期间分别新开发2个、4个扶贫公益性岗位，确保有劳动能力和意愿的贫困家庭有 1-2 项持续增收产业项目、1-2人稳定就业创业，并延长公益性岗位政策享受期限。出台促进高校毕业生就业创业若干政策措施，全年新增企业见习基地100个、见习人员2000人，市、县事业单位和国有企业今明两年招聘应届毕业大学生数量不低于新增岗位的50%。</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潭东镇、潭口镇、高校园区管理处、区党群部、区农办、区社管局、区经发局、区财政局</w:t>
            </w:r>
          </w:p>
        </w:tc>
        <w:tc>
          <w:tcPr>
            <w:tcW w:w="6224" w:type="dxa"/>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46" w:hRule="atLeast"/>
          <w:jc w:val="center"/>
        </w:trPr>
        <w:tc>
          <w:tcPr>
            <w:tcW w:w="688"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5</w:t>
            </w:r>
          </w:p>
        </w:tc>
        <w:tc>
          <w:tcPr>
            <w:tcW w:w="995" w:type="dxa"/>
            <w:vMerge w:val="continue"/>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仿宋_GB2312" w:cs="仿宋_GB2312"/>
                <w:b/>
                <w:i w:val="0"/>
                <w:color w:val="000000"/>
                <w:sz w:val="22"/>
                <w:szCs w:val="22"/>
                <w:u w:val="none"/>
              </w:rPr>
            </w:pP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优化公共就业服务。</w:t>
            </w:r>
            <w:r>
              <w:rPr>
                <w:rStyle w:val="18"/>
                <w:rFonts w:hint="eastAsia" w:ascii="宋体" w:hAnsi="宋体" w:eastAsia="仿宋_GB2312" w:cs="仿宋_GB2312"/>
                <w:bdr w:val="none" w:color="auto" w:sz="0" w:space="0"/>
                <w:lang w:val="en-US" w:eastAsia="zh-CN" w:bidi="ar"/>
              </w:rPr>
              <w:t>组织就业服务进校园、进企业、进园区、进社区、促进就业“四进一促”活动。提高创业担保贷 款最高额度，个人从15万元提高至20万元，高校毕业生可提高至 30万元，全年向高校毕业生、返乡创业农民工、就业困难人员、退役军人等群体发放创业担保贷款16亿元以上。</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区党群部、区社管局、区产业招商局、区经发局</w:t>
            </w:r>
          </w:p>
        </w:tc>
        <w:tc>
          <w:tcPr>
            <w:tcW w:w="6224" w:type="dxa"/>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241" w:hRule="atLeast"/>
          <w:jc w:val="center"/>
        </w:trPr>
        <w:tc>
          <w:tcPr>
            <w:tcW w:w="688"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6</w:t>
            </w:r>
          </w:p>
        </w:tc>
        <w:tc>
          <w:tcPr>
            <w:tcW w:w="995" w:type="dxa"/>
            <w:vMerge w:val="restart"/>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二、保基本民生</w:t>
            </w: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巩固脱贫攻坚成果。</w:t>
            </w:r>
            <w:r>
              <w:rPr>
                <w:rStyle w:val="18"/>
                <w:rFonts w:hint="eastAsia" w:ascii="宋体" w:hAnsi="宋体" w:eastAsia="仿宋_GB2312" w:cs="仿宋_GB2312"/>
                <w:bdr w:val="none" w:color="auto" w:sz="0" w:space="0"/>
                <w:lang w:val="en-US" w:eastAsia="zh-CN" w:bidi="ar"/>
              </w:rPr>
              <w:t>严格落实“四个不摘”要求，保持扶贫工作队伍稳定，开展相对贫困监测帮扶工作。落实有效应对疫情影响稳定贫困户收入、统筹安排专项扶贫资金支持非贫困  县非贫困村贫困人口脱贫政策措施，推动脱贫攻坚与乡村振兴有效衔接。</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区农办、区产业招商局、区财政局</w:t>
            </w:r>
          </w:p>
        </w:tc>
        <w:tc>
          <w:tcPr>
            <w:tcW w:w="6224" w:type="dxa"/>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3136" w:hRule="atLeast"/>
          <w:jc w:val="center"/>
        </w:trPr>
        <w:tc>
          <w:tcPr>
            <w:tcW w:w="688"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7</w:t>
            </w:r>
          </w:p>
        </w:tc>
        <w:tc>
          <w:tcPr>
            <w:tcW w:w="995" w:type="dxa"/>
            <w:vMerge w:val="continue"/>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仿宋_GB2312" w:cs="仿宋_GB2312"/>
                <w:b/>
                <w:i w:val="0"/>
                <w:color w:val="000000"/>
                <w:sz w:val="22"/>
                <w:szCs w:val="22"/>
                <w:u w:val="none"/>
              </w:rPr>
            </w:pP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加大社会保障力度。</w:t>
            </w:r>
            <w:r>
              <w:rPr>
                <w:rStyle w:val="18"/>
                <w:rFonts w:hint="eastAsia" w:ascii="宋体" w:hAnsi="宋体" w:eastAsia="仿宋_GB2312" w:cs="仿宋_GB2312"/>
                <w:bdr w:val="none" w:color="auto" w:sz="0" w:space="0"/>
                <w:lang w:val="en-US" w:eastAsia="zh-CN" w:bidi="ar"/>
              </w:rPr>
              <w:t>扩大低保覆盖面，将低收入家庭中的重病重残对象和符合条件的城乡企业返乡无业人员纳入低保范围。将单次 3000 元以下临时救助审批权限下放至乡镇（街道），并取消户籍所在地申请限制条件。推进城乡失能特困人员县域内集中照料服务，分散供养的特困人员全面签订委托照料服务协议。适时提高困难残疾人生活补贴和重度残疾人护理补贴标准。扩围提标困难群体阶段性价格临时补贴。</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区社管局、区经发局、区财政局</w:t>
            </w:r>
          </w:p>
        </w:tc>
        <w:tc>
          <w:tcPr>
            <w:tcW w:w="6224" w:type="dxa"/>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9" w:hRule="atLeast"/>
          <w:jc w:val="center"/>
        </w:trPr>
        <w:tc>
          <w:tcPr>
            <w:tcW w:w="688"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8</w:t>
            </w:r>
          </w:p>
        </w:tc>
        <w:tc>
          <w:tcPr>
            <w:tcW w:w="995" w:type="dxa"/>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lang w:val="en-US" w:eastAsia="zh-CN" w:bidi="ar"/>
              </w:rPr>
              <w:t>二、保基本民生</w:t>
            </w: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提升公共服务水平。</w:t>
            </w:r>
            <w:r>
              <w:rPr>
                <w:rStyle w:val="18"/>
                <w:rFonts w:hint="eastAsia" w:ascii="宋体" w:hAnsi="宋体" w:eastAsia="仿宋_GB2312" w:cs="仿宋_GB2312"/>
                <w:bdr w:val="none" w:color="auto" w:sz="0" w:space="0"/>
                <w:lang w:val="en-US" w:eastAsia="zh-CN" w:bidi="ar"/>
              </w:rPr>
              <w:t>加快实施省51件、市50件民生实事。加强城镇贫困群众基本住房安全保障，全年完成城市棚户区改造 1.2 万套、发放城镇住房保障家庭租赁补贴 8074 户。开展全省互联网医院试点，开工建设市第五人民医院传染病重症大楼，全面实施乡村医生“乡聘村用”。加快推进赣州智慧教育云建设， 全面完成高质量“班班通”工程，基本实现城乡“专递课堂”资源共享。全面落实养老服务机构奖补政策。</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区住建局、区社管局、区财政局、区产业招商局</w:t>
            </w:r>
          </w:p>
        </w:tc>
        <w:tc>
          <w:tcPr>
            <w:tcW w:w="6224" w:type="dxa"/>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074" w:hRule="atLeast"/>
          <w:jc w:val="center"/>
        </w:trPr>
        <w:tc>
          <w:tcPr>
            <w:tcW w:w="688"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9</w:t>
            </w:r>
          </w:p>
        </w:tc>
        <w:tc>
          <w:tcPr>
            <w:tcW w:w="995" w:type="dxa"/>
            <w:vMerge w:val="restart"/>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三、保市场主体</w:t>
            </w: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进一步减轻企业负担。</w:t>
            </w:r>
            <w:r>
              <w:rPr>
                <w:rStyle w:val="18"/>
                <w:rFonts w:hint="eastAsia" w:ascii="宋体" w:hAnsi="宋体" w:eastAsia="仿宋_GB2312" w:cs="仿宋_GB2312"/>
                <w:bdr w:val="none" w:color="auto" w:sz="0" w:space="0"/>
                <w:lang w:val="en-US" w:eastAsia="zh-CN" w:bidi="ar"/>
              </w:rPr>
              <w:t>常态化开展干部入企帮扶活动， 落实6月前到期减税降费政策延长到年底（不含医保减半征收政策）、小微企业和个体工商户所得税缴纳延迟至 2021年首个申报期内一并缴纳，研究制定鼓励各类业主减免或缓收房租政策，抓好各项应对疫情稳增长政策措施落地。</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潭东镇、潭口镇人民政府，高校园区管理处，区直各部门，区属、驻区各单位</w:t>
            </w:r>
          </w:p>
        </w:tc>
        <w:tc>
          <w:tcPr>
            <w:tcW w:w="6224" w:type="dxa"/>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990" w:hRule="atLeast"/>
          <w:jc w:val="center"/>
        </w:trPr>
        <w:tc>
          <w:tcPr>
            <w:tcW w:w="688"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10</w:t>
            </w:r>
          </w:p>
        </w:tc>
        <w:tc>
          <w:tcPr>
            <w:tcW w:w="995" w:type="dxa"/>
            <w:vMerge w:val="continue"/>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仿宋_GB2312" w:cs="仿宋_GB2312"/>
                <w:b/>
                <w:i w:val="0"/>
                <w:color w:val="000000"/>
                <w:sz w:val="22"/>
                <w:szCs w:val="22"/>
                <w:u w:val="none"/>
              </w:rPr>
            </w:pP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帮助中小微企业融资纾困。</w:t>
            </w:r>
            <w:r>
              <w:rPr>
                <w:rStyle w:val="18"/>
                <w:rFonts w:hint="eastAsia" w:ascii="宋体" w:hAnsi="宋体" w:eastAsia="仿宋_GB2312" w:cs="仿宋_GB2312"/>
                <w:bdr w:val="none" w:color="auto" w:sz="0" w:space="0"/>
                <w:lang w:val="en-US" w:eastAsia="zh-CN" w:bidi="ar"/>
              </w:rPr>
              <w:t>支持驻市银行业金融机构 向上级行争取信贷规模，持续做大信贷投放总量。落实普惠小微企业贷款贴息、延期、展期、无还本续贷等政策，力争全年普惠型小微贷款融资成本较同期下降 0.5 个百分点以上。对疫情防控重点保障企业及受疫情影响较大但正常经营且信用良好的中小微企业，政府性融资担保机构对可纳入国家融资担保基金体系的500万元以内贷款提供免抵质押担保，期限一年，到期不再续贷，新发生融资担保费率不超过1%。</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区财政局、区产业招商局、经开区税务局潭东税务所</w:t>
            </w:r>
          </w:p>
        </w:tc>
        <w:tc>
          <w:tcPr>
            <w:tcW w:w="6224" w:type="dxa"/>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922" w:hRule="atLeast"/>
          <w:jc w:val="center"/>
        </w:trPr>
        <w:tc>
          <w:tcPr>
            <w:tcW w:w="688"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11</w:t>
            </w:r>
          </w:p>
        </w:tc>
        <w:tc>
          <w:tcPr>
            <w:tcW w:w="995" w:type="dxa"/>
            <w:vMerge w:val="restart"/>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lang w:val="en-US" w:eastAsia="zh-CN" w:bidi="ar"/>
              </w:rPr>
              <w:t>三、保市场主体</w:t>
            </w: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支持企业开展“双线”作战。</w:t>
            </w:r>
            <w:r>
              <w:rPr>
                <w:rStyle w:val="18"/>
                <w:rFonts w:hint="eastAsia" w:ascii="宋体" w:hAnsi="宋体" w:eastAsia="仿宋_GB2312" w:cs="仿宋_GB2312"/>
                <w:bdr w:val="none" w:color="auto" w:sz="0" w:space="0"/>
                <w:lang w:val="en-US" w:eastAsia="zh-CN" w:bidi="ar"/>
              </w:rPr>
              <w:t>实施“互联网+”农产品出村进城工程，推行便利店O2O 模式，加快建设国家城乡高效配送仓储·电商多功能物流园。促进文旅产品“云消费”，11月底前推出赣州智慧旅游手机APP4.0版，年底前建成红色旅游VR 云平台系统及应用。外贸企业2020年参加网上展会参照线下展会给予一定补助，引导外贸企业与市内大型商贸流通企业和大型电商平台合作，通过“线上直播+线下促销”推动一批出口产品转内销。</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区产业招商局、区农办、区社管局、区财政局</w:t>
            </w:r>
          </w:p>
        </w:tc>
        <w:tc>
          <w:tcPr>
            <w:tcW w:w="6224" w:type="dxa"/>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1820" w:hRule="atLeast"/>
          <w:jc w:val="center"/>
        </w:trPr>
        <w:tc>
          <w:tcPr>
            <w:tcW w:w="688"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12</w:t>
            </w:r>
          </w:p>
        </w:tc>
        <w:tc>
          <w:tcPr>
            <w:tcW w:w="995" w:type="dxa"/>
            <w:vMerge w:val="continue"/>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仿宋_GB2312" w:cs="仿宋_GB2312"/>
                <w:b/>
                <w:i w:val="0"/>
                <w:color w:val="000000"/>
                <w:sz w:val="22"/>
                <w:szCs w:val="22"/>
                <w:u w:val="none"/>
              </w:rPr>
            </w:pP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发展夜间经济和地摊经济。</w:t>
            </w:r>
            <w:r>
              <w:rPr>
                <w:rStyle w:val="18"/>
                <w:rFonts w:hint="eastAsia" w:ascii="宋体" w:hAnsi="宋体" w:eastAsia="仿宋_GB2312" w:cs="仿宋_GB2312"/>
                <w:bdr w:val="none" w:color="auto" w:sz="0" w:space="0"/>
                <w:lang w:val="en-US" w:eastAsia="zh-CN" w:bidi="ar"/>
              </w:rPr>
              <w:t>制定出台地摊经济引导 细则，发布摆摊经营区域、时段负面清单，在主要景点和特色商业街区举办夜市节、购物节等活动，创建高品质夜间经济集聚区和示范街区，加快打造具有烟火气、客家味、时尚潮的夜赣南新形象。</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区产业招商局、区市场监管分局、区城管分局、区社管局</w:t>
            </w:r>
          </w:p>
        </w:tc>
        <w:tc>
          <w:tcPr>
            <w:tcW w:w="6224" w:type="dxa"/>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293" w:hRule="atLeast"/>
          <w:jc w:val="center"/>
        </w:trPr>
        <w:tc>
          <w:tcPr>
            <w:tcW w:w="688" w:type="dxa"/>
            <w:tcBorders>
              <w:tl2br w:val="nil"/>
              <w:tr2bl w:val="nil"/>
            </w:tcBorders>
            <w:shd w:val="clear"/>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13</w:t>
            </w:r>
          </w:p>
        </w:tc>
        <w:tc>
          <w:tcPr>
            <w:tcW w:w="995" w:type="dxa"/>
            <w:vMerge w:val="continue"/>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仿宋_GB2312" w:cs="仿宋_GB2312"/>
                <w:b/>
                <w:i w:val="0"/>
                <w:color w:val="000000"/>
                <w:sz w:val="22"/>
                <w:szCs w:val="22"/>
                <w:u w:val="none"/>
              </w:rPr>
            </w:pP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着力优化营商环境。</w:t>
            </w:r>
            <w:r>
              <w:rPr>
                <w:rStyle w:val="18"/>
                <w:rFonts w:hint="eastAsia" w:ascii="宋体" w:hAnsi="宋体" w:eastAsia="仿宋_GB2312" w:cs="仿宋_GB2312"/>
                <w:bdr w:val="none" w:color="auto" w:sz="0" w:space="0"/>
                <w:lang w:val="en-US" w:eastAsia="zh-CN" w:bidi="ar"/>
              </w:rPr>
              <w:t>制定深化要素市场化配置改革政策，各级政务服务中心开设企业“政策兑现”代办服务窗口。力争 2020 年底前全面完成县级行政审批局组建。试行“两城两谷两带”产业链放权改革，企业“全生命周期”审批事项下放县（市、区），设立全产业链审批服务专区。</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区经发局、区政务服务中心、区财政局、区产业招商局、区自然资源分局、区市场监管分局</w:t>
            </w:r>
          </w:p>
        </w:tc>
        <w:tc>
          <w:tcPr>
            <w:tcW w:w="6224" w:type="dxa"/>
            <w:tcBorders>
              <w:tl2br w:val="nil"/>
              <w:tr2bl w:val="nil"/>
            </w:tcBorders>
            <w:shd w:val="clear"/>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984" w:hRule="atLeast"/>
          <w:jc w:val="center"/>
        </w:trPr>
        <w:tc>
          <w:tcPr>
            <w:tcW w:w="688" w:type="dxa"/>
            <w:tcBorders>
              <w:tl2br w:val="nil"/>
              <w:tr2bl w:val="nil"/>
            </w:tcBorders>
            <w:shd w:val="clear"/>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14</w:t>
            </w:r>
          </w:p>
        </w:tc>
        <w:tc>
          <w:tcPr>
            <w:tcW w:w="995" w:type="dxa"/>
            <w:vMerge w:val="restart"/>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四、保粮食能源安全</w:t>
            </w: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提升粮食安全保障能力。</w:t>
            </w:r>
            <w:r>
              <w:rPr>
                <w:rStyle w:val="18"/>
                <w:rFonts w:hint="eastAsia" w:ascii="宋体" w:hAnsi="宋体" w:eastAsia="仿宋_GB2312" w:cs="仿宋_GB2312"/>
                <w:bdr w:val="none" w:color="auto" w:sz="0" w:space="0"/>
                <w:lang w:val="en-US" w:eastAsia="zh-CN" w:bidi="ar"/>
              </w:rPr>
              <w:t>严格耕地保护，加大新型农业经营主体种粮扶持，推进抛荒地全面复耕复种，发展“双季稻”种植。大力发展代耕代种、联耕联种、统防统治、收割烘干等社会化服务，加强烘干机等设备设施建设。全面落实粮食收购政策，加强水稻等种子储备，巩固提升市县储备粮和应急成品粮油储备。加快市级粮食储备库“退城进郊”及军民融合项目建设，推进县级粮食仓储设施改造提升。</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潭东镇、潭口镇、高校园区管理处、区农办、区自然资源分局、区经发局、区财政局</w:t>
            </w:r>
          </w:p>
        </w:tc>
        <w:tc>
          <w:tcPr>
            <w:tcW w:w="6224" w:type="dxa"/>
            <w:tcBorders>
              <w:tl2br w:val="nil"/>
              <w:tr2bl w:val="nil"/>
            </w:tcBorders>
            <w:shd w:val="clear"/>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3758" w:hRule="atLeast"/>
          <w:jc w:val="center"/>
        </w:trPr>
        <w:tc>
          <w:tcPr>
            <w:tcW w:w="688" w:type="dxa"/>
            <w:tcBorders>
              <w:tl2br w:val="nil"/>
              <w:tr2bl w:val="nil"/>
            </w:tcBorders>
            <w:shd w:val="clear"/>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15</w:t>
            </w:r>
          </w:p>
        </w:tc>
        <w:tc>
          <w:tcPr>
            <w:tcW w:w="995" w:type="dxa"/>
            <w:vMerge w:val="continue"/>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仿宋_GB2312" w:cs="仿宋_GB2312"/>
                <w:b/>
                <w:i w:val="0"/>
                <w:color w:val="000000"/>
                <w:sz w:val="22"/>
                <w:szCs w:val="22"/>
                <w:u w:val="none"/>
              </w:rPr>
            </w:pP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加强主要农产品供应保障。</w:t>
            </w:r>
            <w:r>
              <w:rPr>
                <w:rStyle w:val="18"/>
                <w:rFonts w:hint="eastAsia" w:ascii="宋体" w:hAnsi="宋体" w:eastAsia="仿宋_GB2312" w:cs="仿宋_GB2312"/>
                <w:bdr w:val="none" w:color="auto" w:sz="0" w:space="0"/>
                <w:lang w:val="en-US" w:eastAsia="zh-CN" w:bidi="ar"/>
              </w:rPr>
              <w:t>用好“农业产业振兴信贷通”，促进农业产业发展和农产品生产供应。推进生猪复产增养，在全省率先恢复生猪产能。加快布局2-3家年屠宰能力100万头以上生猪、1000 万羽以上家禽的屠宰深加工企业，每个县（市、区）整合或新建 1 家现代化生猪屠宰企业，新（改）建1家家禽集中屠宰厂。推广“龙头企业+合作社+职业菜农”组织模式，鼓励市属国有企业参与投资大棚蔬菜产业。实施油料提质扩面行动，力争3年时间实现油料基本自给。加快建设农产品冷链物流项目，建立畜禽应急储备体系，推进蔬菜基地田头预冷设施全覆盖。</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区农办、区产业招商局、区财政局、区经发局</w:t>
            </w:r>
          </w:p>
        </w:tc>
        <w:tc>
          <w:tcPr>
            <w:tcW w:w="6224" w:type="dxa"/>
            <w:tcBorders>
              <w:tl2br w:val="nil"/>
              <w:tr2bl w:val="nil"/>
            </w:tcBorders>
            <w:shd w:val="clear"/>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3304" w:hRule="atLeast"/>
          <w:jc w:val="center"/>
        </w:trPr>
        <w:tc>
          <w:tcPr>
            <w:tcW w:w="688" w:type="dxa"/>
            <w:tcBorders>
              <w:tl2br w:val="nil"/>
              <w:tr2bl w:val="nil"/>
            </w:tcBorders>
            <w:shd w:val="clear"/>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16</w:t>
            </w:r>
          </w:p>
        </w:tc>
        <w:tc>
          <w:tcPr>
            <w:tcW w:w="995" w:type="dxa"/>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lang w:val="en-US" w:eastAsia="zh-CN" w:bidi="ar"/>
              </w:rPr>
              <w:t>四、保粮食能源安全</w:t>
            </w: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保障煤电油气安全稳定供应。</w:t>
            </w:r>
            <w:r>
              <w:rPr>
                <w:rStyle w:val="18"/>
                <w:rFonts w:hint="eastAsia" w:ascii="宋体" w:hAnsi="宋体" w:eastAsia="仿宋_GB2312" w:cs="仿宋_GB2312"/>
                <w:bdr w:val="none" w:color="auto" w:sz="0" w:space="0"/>
                <w:lang w:val="en-US" w:eastAsia="zh-CN" w:bidi="ar"/>
              </w:rPr>
              <w:t>加快支撑性电源点和电网项目建设，消除低电压用户3.17万户。有序推进新能源开发利用，力争今年新能源装机提升至 300 万千瓦以上。落实地方政府日均3天需求量和城镇燃气企业年用气量 5%储气能力，实现省级管网全部互联互通。中石化赣州分公司油库成品油库存满足7天以上消耗，扩大偏远农村加油站网点覆盖面。开展能源需求侧管理，科学制定迎峰度夏度冬有序用电预案和迎峰度冬有序用气预案。</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区经发局、区产业招商局、区自然资源分局、经开区供电公司、中石化黄金分公司</w:t>
            </w:r>
          </w:p>
        </w:tc>
        <w:tc>
          <w:tcPr>
            <w:tcW w:w="6224" w:type="dxa"/>
            <w:tcBorders>
              <w:tl2br w:val="nil"/>
              <w:tr2bl w:val="nil"/>
            </w:tcBorders>
            <w:shd w:val="clear"/>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1942" w:hRule="atLeast"/>
          <w:jc w:val="center"/>
        </w:trPr>
        <w:tc>
          <w:tcPr>
            <w:tcW w:w="688" w:type="dxa"/>
            <w:tcBorders>
              <w:tl2br w:val="nil"/>
              <w:tr2bl w:val="nil"/>
            </w:tcBorders>
            <w:shd w:val="clear"/>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17</w:t>
            </w:r>
          </w:p>
        </w:tc>
        <w:tc>
          <w:tcPr>
            <w:tcW w:w="995" w:type="dxa"/>
            <w:vMerge w:val="restart"/>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五、保产业链供应链稳定</w:t>
            </w: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实施“链长制”。</w:t>
            </w:r>
            <w:r>
              <w:rPr>
                <w:rStyle w:val="18"/>
                <w:rFonts w:hint="eastAsia" w:ascii="宋体" w:hAnsi="宋体" w:eastAsia="仿宋_GB2312" w:cs="仿宋_GB2312"/>
                <w:bdr w:val="none" w:color="auto" w:sz="0" w:space="0"/>
                <w:lang w:val="en-US" w:eastAsia="zh-CN" w:bidi="ar"/>
              </w:rPr>
              <w:t>打好产业基础高级化、产业链现代化攻坚战，实行“两城两谷两带”和大数据、绿色食品、文化旅游、商贸物流、房地产建筑等重点产业“链长制”，由市领导担任链长，实施“一链一策”，促进产业强链补链延链。</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区产业招商局、区市场监管分局、区社管局、区农办、区经发局、区住建局</w:t>
            </w:r>
          </w:p>
        </w:tc>
        <w:tc>
          <w:tcPr>
            <w:tcW w:w="6224" w:type="dxa"/>
            <w:tcBorders>
              <w:tl2br w:val="nil"/>
              <w:tr2bl w:val="nil"/>
            </w:tcBorders>
            <w:shd w:val="clear"/>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3" w:hRule="atLeast"/>
          <w:jc w:val="center"/>
        </w:trPr>
        <w:tc>
          <w:tcPr>
            <w:tcW w:w="688" w:type="dxa"/>
            <w:tcBorders>
              <w:tl2br w:val="nil"/>
              <w:tr2bl w:val="nil"/>
            </w:tcBorders>
            <w:shd w:val="clear"/>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18</w:t>
            </w:r>
          </w:p>
        </w:tc>
        <w:tc>
          <w:tcPr>
            <w:tcW w:w="995" w:type="dxa"/>
            <w:vMerge w:val="continue"/>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仿宋_GB2312" w:cs="仿宋_GB2312"/>
                <w:b/>
                <w:i w:val="0"/>
                <w:color w:val="000000"/>
                <w:sz w:val="22"/>
                <w:szCs w:val="22"/>
                <w:u w:val="none"/>
              </w:rPr>
            </w:pP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畅通产业链供应链内循环。</w:t>
            </w:r>
            <w:r>
              <w:rPr>
                <w:rStyle w:val="18"/>
                <w:rFonts w:hint="eastAsia" w:ascii="宋体" w:hAnsi="宋体" w:eastAsia="仿宋_GB2312" w:cs="仿宋_GB2312"/>
                <w:bdr w:val="none" w:color="auto" w:sz="0" w:space="0"/>
                <w:lang w:val="en-US" w:eastAsia="zh-CN" w:bidi="ar"/>
              </w:rPr>
              <w:t>组织产业链上下游企业产品对接，推动原材料、零部件本地化配套。鼓励政府、医院、学校等行政事业单位采购本地产品。出台推动物流高质量发展促进形成强大国内市场三年行动计划。开展重大项目“云开工”“百日攻坚”活动，力争提前1个月完成省大中型项目、市重点项目全年投资计划。</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区经发局、区产业招商局、区财政局、区项目办、区建投公司</w:t>
            </w:r>
          </w:p>
        </w:tc>
        <w:tc>
          <w:tcPr>
            <w:tcW w:w="6224" w:type="dxa"/>
            <w:tcBorders>
              <w:tl2br w:val="nil"/>
              <w:tr2bl w:val="nil"/>
            </w:tcBorders>
            <w:shd w:val="clear"/>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3785" w:hRule="atLeast"/>
          <w:jc w:val="center"/>
        </w:trPr>
        <w:tc>
          <w:tcPr>
            <w:tcW w:w="688" w:type="dxa"/>
            <w:tcBorders>
              <w:tl2br w:val="nil"/>
              <w:tr2bl w:val="nil"/>
            </w:tcBorders>
            <w:shd w:val="clear"/>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19</w:t>
            </w:r>
          </w:p>
        </w:tc>
        <w:tc>
          <w:tcPr>
            <w:tcW w:w="995" w:type="dxa"/>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lang w:val="en-US" w:eastAsia="zh-CN" w:bidi="ar"/>
              </w:rPr>
              <w:t>五、保产业链供应链稳定</w:t>
            </w: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参与全球产业链供应链分工。</w:t>
            </w:r>
            <w:r>
              <w:rPr>
                <w:rStyle w:val="18"/>
                <w:rFonts w:hint="eastAsia" w:ascii="宋体" w:hAnsi="宋体" w:eastAsia="仿宋_GB2312" w:cs="仿宋_GB2312"/>
                <w:bdr w:val="none" w:color="auto" w:sz="0" w:space="0"/>
                <w:lang w:val="en-US" w:eastAsia="zh-CN" w:bidi="ar"/>
              </w:rPr>
              <w:t>选派外商首席服务员，鼓励有条件的县（市、区）在海外设立招商中心，支持有条件的工业园区建立国际产业合作园。支持企业开展出口品牌培育、国际产品认证、马德里商标注册和境外专利申请。推荐白名单企业，组织外贸综合服务企业与医疗物资出口企业对接。出台内陆开放型经济试验区建设行动方案，加强与粤港澳大湾区等产能共享对接。出台支持跨境电商政策，推进跨境电商1210保税进出口业务常态化运行。出台支持综保区发展的政策措施，支持综保区发展加工贸易、保税维修等业务。加快解决跨境电商多品名安检查验问题。</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区产业招商局、区经发局、区市场监管分局、区财政局</w:t>
            </w:r>
          </w:p>
        </w:tc>
        <w:tc>
          <w:tcPr>
            <w:tcW w:w="6224" w:type="dxa"/>
            <w:tcBorders>
              <w:tl2br w:val="nil"/>
              <w:tr2bl w:val="nil"/>
            </w:tcBorders>
            <w:shd w:val="clear"/>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620" w:hRule="atLeast"/>
          <w:jc w:val="center"/>
        </w:trPr>
        <w:tc>
          <w:tcPr>
            <w:tcW w:w="688" w:type="dxa"/>
            <w:tcBorders>
              <w:tl2br w:val="nil"/>
              <w:tr2bl w:val="nil"/>
            </w:tcBorders>
            <w:shd w:val="clear"/>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20</w:t>
            </w:r>
          </w:p>
        </w:tc>
        <w:tc>
          <w:tcPr>
            <w:tcW w:w="995" w:type="dxa"/>
            <w:vMerge w:val="restart"/>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六、保基层运转</w:t>
            </w: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坚持“过紧日子”。</w:t>
            </w:r>
            <w:r>
              <w:rPr>
                <w:rStyle w:val="18"/>
                <w:rFonts w:hint="eastAsia" w:ascii="宋体" w:hAnsi="宋体" w:eastAsia="仿宋_GB2312" w:cs="仿宋_GB2312"/>
                <w:bdr w:val="none" w:color="auto" w:sz="0" w:space="0"/>
                <w:lang w:val="en-US" w:eastAsia="zh-CN" w:bidi="ar"/>
              </w:rPr>
              <w:t>大力压减一般性支出，在年初预 算压减 10%的基础上，各级各部门全年一般性支出总额较上年决算压减 15%以上，预算执行中原则上不再新增购置公务用车预算，公务用车运维经费只减不增。严格控制新增支出，严禁新建、扩建政  府性楼堂馆所，预算执行中原则上不再出台增加当年财政支出的政  策且不得要求县级配套，对结转一年以上的项目支出等结余结转资金收回财政统筹使用。</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潭东镇、潭口镇人民政府，高校园区管理处，区直各部门，区属、驻区各单位</w:t>
            </w:r>
          </w:p>
        </w:tc>
        <w:tc>
          <w:tcPr>
            <w:tcW w:w="6224" w:type="dxa"/>
            <w:tcBorders>
              <w:tl2br w:val="nil"/>
              <w:tr2bl w:val="nil"/>
            </w:tcBorders>
            <w:shd w:val="clear"/>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1560" w:hRule="atLeast"/>
          <w:jc w:val="center"/>
        </w:trPr>
        <w:tc>
          <w:tcPr>
            <w:tcW w:w="688" w:type="dxa"/>
            <w:tcBorders>
              <w:tl2br w:val="nil"/>
              <w:tr2bl w:val="nil"/>
            </w:tcBorders>
            <w:shd w:val="clear"/>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21</w:t>
            </w:r>
          </w:p>
        </w:tc>
        <w:tc>
          <w:tcPr>
            <w:tcW w:w="995" w:type="dxa"/>
            <w:vMerge w:val="continue"/>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仿宋_GB2312" w:cs="仿宋_GB2312"/>
                <w:b/>
                <w:i w:val="0"/>
                <w:color w:val="000000"/>
                <w:sz w:val="22"/>
                <w:szCs w:val="22"/>
                <w:u w:val="none"/>
              </w:rPr>
            </w:pP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抓好北上争资争项。</w:t>
            </w:r>
            <w:r>
              <w:rPr>
                <w:rStyle w:val="18"/>
                <w:rFonts w:hint="eastAsia" w:ascii="宋体" w:hAnsi="宋体" w:eastAsia="仿宋_GB2312" w:cs="仿宋_GB2312"/>
                <w:bdr w:val="none" w:color="auto" w:sz="0" w:space="0"/>
                <w:lang w:val="en-US" w:eastAsia="zh-CN" w:bidi="ar"/>
              </w:rPr>
              <w:t>积极争取新增债券支持，全年争取新增债券额度200 亿元以上、再融资债券额度30 亿元以上。跟进国家基础设施领域不动产投资信托基金（基础设施 REITs）试点，做好项目遴选与推荐工作。</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区经发局、区财政局</w:t>
            </w:r>
          </w:p>
        </w:tc>
        <w:tc>
          <w:tcPr>
            <w:tcW w:w="6224" w:type="dxa"/>
            <w:tcBorders>
              <w:tl2br w:val="nil"/>
              <w:tr2bl w:val="nil"/>
            </w:tcBorders>
            <w:shd w:val="clear"/>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40" w:hRule="atLeast"/>
          <w:jc w:val="center"/>
        </w:trPr>
        <w:tc>
          <w:tcPr>
            <w:tcW w:w="688" w:type="dxa"/>
            <w:tcBorders>
              <w:tl2br w:val="nil"/>
              <w:tr2bl w:val="nil"/>
            </w:tcBorders>
            <w:shd w:val="clear"/>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22</w:t>
            </w:r>
          </w:p>
        </w:tc>
        <w:tc>
          <w:tcPr>
            <w:tcW w:w="995" w:type="dxa"/>
            <w:vMerge w:val="restart"/>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lang w:val="en-US" w:eastAsia="zh-CN" w:bidi="ar"/>
              </w:rPr>
              <w:t>六、保基层运转</w:t>
            </w: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财力倾斜基层。</w:t>
            </w:r>
            <w:r>
              <w:rPr>
                <w:rStyle w:val="18"/>
                <w:rFonts w:hint="eastAsia" w:ascii="宋体" w:hAnsi="宋体" w:eastAsia="仿宋_GB2312" w:cs="仿宋_GB2312"/>
                <w:bdr w:val="none" w:color="auto" w:sz="0" w:space="0"/>
                <w:lang w:val="en-US" w:eastAsia="zh-CN" w:bidi="ar"/>
              </w:rPr>
              <w:t>市本级设立应急保障资金，重点 解决保运转资金支付临时性困难。市直部门在预算批复后六十日内分配下达对下专项转移支付，逾期未提出分配计划的专项转移  支付，收回市财政总预算统筹用于“保基本民生、保工资、保运  转”等重点领域。各县（市、区）应尽快形成上</w:t>
            </w:r>
            <w:bookmarkStart w:id="0" w:name="_GoBack"/>
            <w:bookmarkEnd w:id="0"/>
            <w:r>
              <w:rPr>
                <w:rStyle w:val="18"/>
                <w:rFonts w:hint="eastAsia" w:ascii="宋体" w:hAnsi="宋体" w:eastAsia="仿宋_GB2312" w:cs="仿宋_GB2312"/>
                <w:bdr w:val="none" w:color="auto" w:sz="0" w:space="0"/>
                <w:lang w:val="en-US" w:eastAsia="zh-CN" w:bidi="ar"/>
              </w:rPr>
              <w:t>级转移支付实际支出和实际工作量，确保财政资金安全高效使用。</w:t>
            </w:r>
          </w:p>
        </w:tc>
        <w:tc>
          <w:tcPr>
            <w:tcW w:w="1649"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潭东镇、潭口镇人民政府，高校园区管理处，区直各部门，区属、驻区各单位</w:t>
            </w:r>
          </w:p>
        </w:tc>
        <w:tc>
          <w:tcPr>
            <w:tcW w:w="6224" w:type="dxa"/>
            <w:tcBorders>
              <w:tl2br w:val="nil"/>
              <w:tr2bl w:val="nil"/>
            </w:tcBorders>
            <w:shd w:val="clear"/>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1300" w:hRule="atLeast"/>
          <w:jc w:val="center"/>
        </w:trPr>
        <w:tc>
          <w:tcPr>
            <w:tcW w:w="688" w:type="dxa"/>
            <w:tcBorders>
              <w:tl2br w:val="nil"/>
              <w:tr2bl w:val="nil"/>
            </w:tcBorders>
            <w:shd w:val="clear"/>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23</w:t>
            </w:r>
          </w:p>
        </w:tc>
        <w:tc>
          <w:tcPr>
            <w:tcW w:w="995" w:type="dxa"/>
            <w:vMerge w:val="continue"/>
            <w:tcBorders>
              <w:tl2br w:val="nil"/>
              <w:tr2bl w:val="nil"/>
            </w:tcBorders>
            <w:shd w:val="clear"/>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jc w:val="center"/>
              <w:rPr>
                <w:rFonts w:hint="eastAsia" w:ascii="宋体" w:hAnsi="宋体" w:eastAsia="仿宋_GB2312" w:cs="仿宋_GB2312"/>
                <w:b/>
                <w:i w:val="0"/>
                <w:color w:val="000000"/>
                <w:sz w:val="22"/>
                <w:szCs w:val="22"/>
                <w:u w:val="none"/>
              </w:rPr>
            </w:pPr>
          </w:p>
        </w:tc>
        <w:tc>
          <w:tcPr>
            <w:tcW w:w="5251" w:type="dxa"/>
            <w:tcBorders>
              <w:tl2br w:val="nil"/>
              <w:tr2bl w:val="nil"/>
            </w:tcBorders>
            <w:shd w:val="clear"/>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both"/>
              <w:textAlignment w:val="top"/>
              <w:rPr>
                <w:rFonts w:hint="eastAsia" w:ascii="宋体" w:hAnsi="宋体" w:eastAsia="仿宋_GB2312" w:cs="仿宋_GB2312"/>
                <w:b/>
                <w:i w:val="0"/>
                <w:color w:val="000000"/>
                <w:sz w:val="22"/>
                <w:szCs w:val="22"/>
                <w:u w:val="none"/>
              </w:rPr>
            </w:pPr>
            <w:r>
              <w:rPr>
                <w:rFonts w:hint="eastAsia" w:ascii="宋体" w:hAnsi="宋体" w:eastAsia="仿宋_GB2312" w:cs="仿宋_GB2312"/>
                <w:b/>
                <w:i w:val="0"/>
                <w:color w:val="000000"/>
                <w:kern w:val="0"/>
                <w:sz w:val="22"/>
                <w:szCs w:val="22"/>
                <w:u w:val="none"/>
                <w:bdr w:val="none" w:color="auto" w:sz="0" w:space="0"/>
                <w:lang w:val="en-US" w:eastAsia="zh-CN" w:bidi="ar"/>
              </w:rPr>
              <w:t>防范债务风险。</w:t>
            </w:r>
            <w:r>
              <w:rPr>
                <w:rStyle w:val="18"/>
                <w:rFonts w:hint="eastAsia" w:ascii="宋体" w:hAnsi="宋体" w:eastAsia="仿宋_GB2312" w:cs="仿宋_GB2312"/>
                <w:bdr w:val="none" w:color="auto" w:sz="0" w:space="0"/>
                <w:lang w:val="en-US" w:eastAsia="zh-CN" w:bidi="ar"/>
              </w:rPr>
              <w:t>健全“借用还”与“权责利”相 统一的政府债务管理机制，政府债务率控制在 100%的警戒线内。推进到期债券接续，缓解还本付息压力。</w:t>
            </w:r>
          </w:p>
        </w:tc>
        <w:tc>
          <w:tcPr>
            <w:tcW w:w="1649" w:type="dxa"/>
            <w:tcBorders>
              <w:tl2br w:val="nil"/>
              <w:tr2bl w:val="nil"/>
            </w:tcBorders>
            <w:shd w:val="clear"/>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snapToGrid/>
              <w:ind w:firstLine="0" w:firstLineChars="0"/>
              <w:jc w:val="center"/>
              <w:textAlignment w:val="center"/>
              <w:rPr>
                <w:rFonts w:hint="eastAsia" w:ascii="宋体" w:hAnsi="宋体" w:eastAsia="仿宋_GB2312" w:cs="仿宋_GB2312"/>
                <w:i w:val="0"/>
                <w:color w:val="000000"/>
                <w:sz w:val="22"/>
                <w:szCs w:val="22"/>
                <w:u w:val="none"/>
              </w:rPr>
            </w:pPr>
            <w:r>
              <w:rPr>
                <w:rFonts w:hint="eastAsia" w:ascii="宋体" w:hAnsi="宋体" w:eastAsia="仿宋_GB2312" w:cs="仿宋_GB2312"/>
                <w:i w:val="0"/>
                <w:color w:val="000000"/>
                <w:kern w:val="0"/>
                <w:sz w:val="22"/>
                <w:szCs w:val="22"/>
                <w:u w:val="none"/>
                <w:bdr w:val="none" w:color="auto" w:sz="0" w:space="0"/>
                <w:lang w:val="en-US" w:eastAsia="zh-CN" w:bidi="ar"/>
              </w:rPr>
              <w:t>区财政局</w:t>
            </w:r>
          </w:p>
        </w:tc>
        <w:tc>
          <w:tcPr>
            <w:tcW w:w="6224" w:type="dxa"/>
            <w:tcBorders>
              <w:tl2br w:val="nil"/>
              <w:tr2bl w:val="nil"/>
            </w:tcBorders>
            <w:shd w:val="clear"/>
            <w:noWrap/>
            <w:tcMar>
              <w:top w:w="15" w:type="dxa"/>
              <w:left w:w="15" w:type="dxa"/>
              <w:right w:w="15" w:type="dxa"/>
            </w:tcMar>
            <w:vAlign w:val="center"/>
          </w:tcPr>
          <w:p>
            <w:pPr>
              <w:keepNext w:val="0"/>
              <w:keepLines w:val="0"/>
              <w:pageBreakBefore w:val="0"/>
              <w:widowControl/>
              <w:kinsoku/>
              <w:wordWrap/>
              <w:topLinePunct w:val="0"/>
              <w:autoSpaceDE/>
              <w:autoSpaceDN/>
              <w:bidi w:val="0"/>
              <w:adjustRightInd/>
              <w:snapToGrid/>
              <w:ind w:firstLine="0" w:firstLineChars="0"/>
              <w:rPr>
                <w:rFonts w:hint="eastAsia" w:ascii="宋体" w:hAnsi="宋体" w:eastAsia="仿宋_GB2312" w:cs="仿宋_GB2312"/>
                <w:i w:val="0"/>
                <w:color w:val="000000"/>
                <w:sz w:val="22"/>
                <w:szCs w:val="22"/>
                <w:u w:val="none"/>
              </w:rPr>
            </w:pPr>
          </w:p>
        </w:tc>
      </w:tr>
    </w:tbl>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sz w:val="44"/>
          <w:szCs w:val="44"/>
          <w:lang w:val="en-US" w:eastAsia="zh-CN"/>
        </w:rPr>
        <w:sectPr>
          <w:pgSz w:w="16838" w:h="11906" w:orient="landscape"/>
          <w:pgMar w:top="1587" w:right="1134" w:bottom="1474" w:left="1134" w:header="851" w:footer="992" w:gutter="0"/>
          <w:paperSrc/>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 xml:space="preserve"> </w:t>
      </w:r>
    </w:p>
    <w:tbl>
      <w:tblPr>
        <w:tblStyle w:val="8"/>
        <w:tblpPr w:leftFromText="181" w:rightFromText="181" w:vertAnchor="page" w:horzAnchor="page" w:tblpX="1476" w:tblpY="14522"/>
        <w:tblOverlap w:val="never"/>
        <w:tblW w:w="9060" w:type="dxa"/>
        <w:tblInd w:w="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5480"/>
        <w:gridCol w:w="3580"/>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c>
          <w:tcPr>
            <w:tcW w:w="54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仿宋_GB2312" w:cs="仿宋_GB2312"/>
                <w:sz w:val="32"/>
                <w:szCs w:val="32"/>
                <w:lang w:val="en-US"/>
              </w:rPr>
            </w:pPr>
            <w:r>
              <w:rPr>
                <w:rFonts w:hint="eastAsia" w:ascii="宋体" w:hAnsi="宋体" w:eastAsia="仿宋_GB2312" w:cs="仿宋_GB2312"/>
                <w:sz w:val="32"/>
                <w:szCs w:val="32"/>
                <w:lang w:val="en-US" w:eastAsia="zh-CN"/>
              </w:rPr>
              <w:t>赣州蓉江新区经济发展局办公室</w:t>
            </w:r>
          </w:p>
        </w:tc>
        <w:tc>
          <w:tcPr>
            <w:tcW w:w="35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20</w:t>
            </w:r>
            <w:r>
              <w:rPr>
                <w:rFonts w:hint="eastAsia" w:ascii="宋体" w:hAnsi="宋体" w:eastAsia="仿宋_GB2312" w:cs="仿宋_GB2312"/>
                <w:sz w:val="32"/>
                <w:szCs w:val="32"/>
                <w:lang w:val="en-US" w:eastAsia="zh-CN"/>
              </w:rPr>
              <w:t>20</w:t>
            </w:r>
            <w:r>
              <w:rPr>
                <w:rFonts w:hint="eastAsia" w:ascii="宋体" w:hAnsi="宋体" w:eastAsia="仿宋_GB2312" w:cs="仿宋_GB2312"/>
                <w:sz w:val="32"/>
                <w:szCs w:val="32"/>
              </w:rPr>
              <w:t>年</w:t>
            </w:r>
            <w:r>
              <w:rPr>
                <w:rFonts w:hint="eastAsia" w:ascii="宋体" w:hAnsi="宋体" w:cs="仿宋_GB2312"/>
                <w:sz w:val="32"/>
                <w:szCs w:val="32"/>
                <w:lang w:val="en-US" w:eastAsia="zh-CN"/>
              </w:rPr>
              <w:t>7</w:t>
            </w:r>
            <w:r>
              <w:rPr>
                <w:rFonts w:hint="eastAsia" w:ascii="宋体" w:hAnsi="宋体" w:eastAsia="仿宋_GB2312" w:cs="仿宋_GB2312"/>
                <w:sz w:val="32"/>
                <w:szCs w:val="32"/>
              </w:rPr>
              <w:t>月</w:t>
            </w:r>
            <w:r>
              <w:rPr>
                <w:rFonts w:hint="eastAsia" w:ascii="宋体" w:hAnsi="宋体" w:cs="仿宋_GB2312"/>
                <w:sz w:val="32"/>
                <w:szCs w:val="32"/>
                <w:lang w:val="en-US" w:eastAsia="zh-CN"/>
              </w:rPr>
              <w:t>2</w:t>
            </w:r>
            <w:r>
              <w:rPr>
                <w:rFonts w:hint="eastAsia" w:ascii="宋体" w:hAnsi="宋体" w:cs="仿宋_GB2312"/>
                <w:sz w:val="32"/>
                <w:szCs w:val="32"/>
                <w:lang w:val="en-US" w:eastAsia="zh-CN"/>
              </w:rPr>
              <w:t>0</w:t>
            </w:r>
            <w:r>
              <w:rPr>
                <w:rFonts w:hint="eastAsia" w:ascii="宋体" w:hAnsi="宋体" w:eastAsia="仿宋_GB2312" w:cs="仿宋_GB2312"/>
                <w:sz w:val="32"/>
                <w:szCs w:val="32"/>
              </w:rPr>
              <w:t>日印发</w:t>
            </w:r>
          </w:p>
        </w:tc>
      </w:tr>
    </w:tbl>
    <w:p>
      <w:pPr>
        <w:pStyle w:val="5"/>
        <w:jc w:val="center"/>
        <w:rPr>
          <w:rFonts w:hint="default" w:ascii="宋体" w:hAnsi="宋体"/>
          <w:szCs w:val="32"/>
          <w:lang w:val="en-US" w:eastAsia="zh-CN"/>
        </w:rPr>
      </w:pPr>
    </w:p>
    <w:sectPr>
      <w:pgSz w:w="11906" w:h="16838"/>
      <w:pgMar w:top="1134" w:right="1474" w:bottom="1134" w:left="1587" w:header="851" w:footer="992" w:gutter="0"/>
      <w:paperSrc/>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75E58"/>
    <w:rsid w:val="025129FB"/>
    <w:rsid w:val="07B71C25"/>
    <w:rsid w:val="0B7B1A46"/>
    <w:rsid w:val="0C775E58"/>
    <w:rsid w:val="0D4A2189"/>
    <w:rsid w:val="0FA33E88"/>
    <w:rsid w:val="106C5BE8"/>
    <w:rsid w:val="132B2D62"/>
    <w:rsid w:val="16F27B7B"/>
    <w:rsid w:val="1D7544A5"/>
    <w:rsid w:val="1D800EDB"/>
    <w:rsid w:val="1E53081F"/>
    <w:rsid w:val="1E567B06"/>
    <w:rsid w:val="231E75E2"/>
    <w:rsid w:val="240D7368"/>
    <w:rsid w:val="26DB3B8C"/>
    <w:rsid w:val="274B439A"/>
    <w:rsid w:val="27F43952"/>
    <w:rsid w:val="29EB6B1F"/>
    <w:rsid w:val="2B42305D"/>
    <w:rsid w:val="2B7B19E8"/>
    <w:rsid w:val="2D566818"/>
    <w:rsid w:val="319604F8"/>
    <w:rsid w:val="31CC76DF"/>
    <w:rsid w:val="32E064B1"/>
    <w:rsid w:val="376660E6"/>
    <w:rsid w:val="37671F41"/>
    <w:rsid w:val="3C01313E"/>
    <w:rsid w:val="412D3450"/>
    <w:rsid w:val="4467706E"/>
    <w:rsid w:val="482907E6"/>
    <w:rsid w:val="494B0A16"/>
    <w:rsid w:val="4EB93A4B"/>
    <w:rsid w:val="4F3328B9"/>
    <w:rsid w:val="4F987C7E"/>
    <w:rsid w:val="52DE455E"/>
    <w:rsid w:val="533A305F"/>
    <w:rsid w:val="573E6118"/>
    <w:rsid w:val="5E8A0B11"/>
    <w:rsid w:val="601F5976"/>
    <w:rsid w:val="6A7E75CE"/>
    <w:rsid w:val="6B9A2A09"/>
    <w:rsid w:val="6CC83BEE"/>
    <w:rsid w:val="6D3E591D"/>
    <w:rsid w:val="6E71356B"/>
    <w:rsid w:val="710A79B2"/>
    <w:rsid w:val="71BF794A"/>
    <w:rsid w:val="723B7A95"/>
    <w:rsid w:val="73942EC6"/>
    <w:rsid w:val="75090F34"/>
    <w:rsid w:val="76C41478"/>
    <w:rsid w:val="7941490E"/>
    <w:rsid w:val="7AB627DE"/>
    <w:rsid w:val="7BBC0F4A"/>
    <w:rsid w:val="7C8273D4"/>
    <w:rsid w:val="7F6E515A"/>
    <w:rsid w:val="7F8515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ind w:firstLine="802" w:firstLineChars="200"/>
      <w:jc w:val="both"/>
    </w:pPr>
    <w:rPr>
      <w:rFonts w:ascii="宋体" w:hAnsi="宋体" w:eastAsia="仿宋_GB2312" w:cs="Times New Roman"/>
      <w:kern w:val="2"/>
      <w:sz w:val="32"/>
      <w:szCs w:val="24"/>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ascii="Times New Roman" w:hAnsi="Times New Roman" w:eastAsia="宋体" w:cs="Times New Roman"/>
    </w:r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标题 #1"/>
    <w:basedOn w:val="1"/>
    <w:qFormat/>
    <w:uiPriority w:val="0"/>
    <w:pPr>
      <w:shd w:val="clear" w:color="auto" w:fill="FFFFFF"/>
      <w:spacing w:after="540" w:line="615" w:lineRule="exact"/>
      <w:jc w:val="center"/>
      <w:outlineLvl w:val="0"/>
    </w:pPr>
    <w:rPr>
      <w:rFonts w:ascii="微软雅黑" w:hAnsi="微软雅黑" w:eastAsia="微软雅黑" w:cs="微软雅黑"/>
      <w:sz w:val="44"/>
      <w:szCs w:val="44"/>
    </w:rPr>
  </w:style>
  <w:style w:type="paragraph" w:customStyle="1" w:styleId="13">
    <w:name w:val="正文文本 (2)"/>
    <w:basedOn w:val="1"/>
    <w:link w:val="15"/>
    <w:qFormat/>
    <w:uiPriority w:val="0"/>
    <w:pPr>
      <w:shd w:val="clear" w:color="auto" w:fill="FFFFFF"/>
      <w:spacing w:before="540" w:line="615" w:lineRule="exact"/>
      <w:ind w:firstLine="680"/>
    </w:pPr>
    <w:rPr>
      <w:rFonts w:ascii="微软雅黑" w:hAnsi="微软雅黑" w:eastAsia="微软雅黑" w:cs="微软雅黑"/>
      <w:sz w:val="32"/>
      <w:szCs w:val="32"/>
    </w:rPr>
  </w:style>
  <w:style w:type="character" w:customStyle="1" w:styleId="14">
    <w:name w:val="正文文本 (2) + Times New Roman"/>
    <w:basedOn w:val="15"/>
    <w:qFormat/>
    <w:uiPriority w:val="0"/>
    <w:rPr>
      <w:rFonts w:ascii="Times New Roman" w:hAnsi="Times New Roman" w:eastAsia="Times New Roman" w:cs="Times New Roman"/>
      <w:color w:val="000000"/>
      <w:spacing w:val="0"/>
      <w:w w:val="100"/>
      <w:position w:val="0"/>
      <w:sz w:val="36"/>
      <w:szCs w:val="36"/>
      <w:u w:val="none"/>
      <w:lang w:val="zh-CN" w:eastAsia="zh-CN" w:bidi="zh-CN"/>
    </w:rPr>
  </w:style>
  <w:style w:type="character" w:customStyle="1" w:styleId="15">
    <w:name w:val="正文文本 (2)_"/>
    <w:basedOn w:val="10"/>
    <w:link w:val="13"/>
    <w:qFormat/>
    <w:uiPriority w:val="0"/>
    <w:rPr>
      <w:rFonts w:ascii="微软雅黑" w:hAnsi="微软雅黑" w:eastAsia="微软雅黑" w:cs="微软雅黑"/>
      <w:sz w:val="32"/>
      <w:szCs w:val="32"/>
    </w:rPr>
  </w:style>
  <w:style w:type="character" w:customStyle="1" w:styleId="16">
    <w:name w:val="font21"/>
    <w:basedOn w:val="10"/>
    <w:qFormat/>
    <w:uiPriority w:val="0"/>
    <w:rPr>
      <w:rFonts w:hint="eastAsia" w:ascii="仿宋_GB2312" w:eastAsia="仿宋_GB2312" w:cs="仿宋_GB2312"/>
      <w:color w:val="000000"/>
      <w:sz w:val="28"/>
      <w:szCs w:val="28"/>
      <w:u w:val="none"/>
    </w:rPr>
  </w:style>
  <w:style w:type="character" w:customStyle="1" w:styleId="17">
    <w:name w:val="NormalCharacter"/>
    <w:qFormat/>
    <w:uiPriority w:val="0"/>
    <w:rPr>
      <w:rFonts w:ascii="Calibri" w:hAnsi="Calibri" w:eastAsia="宋体" w:cs="Times New Roman"/>
      <w:kern w:val="2"/>
      <w:sz w:val="21"/>
      <w:szCs w:val="24"/>
      <w:lang w:val="en-US" w:eastAsia="zh-CN" w:bidi="ar-SA"/>
    </w:rPr>
  </w:style>
  <w:style w:type="character" w:customStyle="1" w:styleId="18">
    <w:name w:val="font41"/>
    <w:basedOn w:val="10"/>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2020-05-08T02:26:00Z</dcterms:created>
  <dc:creator>爱你现在的时光</dc:creator>
  <cp:lastModifiedBy>水清浅1397272921</cp:lastModifiedBy>
  <cp:lastPrinted>2020-07-27T02:09:59Z</cp:lastPrinted>
  <dcterms:modified xsi:type="dcterms:W3CDTF">2020-07-27T02:13:35Z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