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方正小标宋_GBK"/>
          <w:b w:val="0"/>
          <w:bCs w:val="0"/>
          <w:color w:val="000000" w:themeColor="text1"/>
          <w:sz w:val="30"/>
          <w14:textFill>
            <w14:solidFill>
              <w14:schemeClr w14:val="tx1"/>
            </w14:solidFill>
          </w14:textFill>
        </w:rPr>
      </w:pPr>
      <w:bookmarkStart w:id="0" w:name="_Toc24724725"/>
      <w:r>
        <w:rPr>
          <w:rFonts w:hint="eastAsia" w:ascii="宋体" w:hAnsi="宋体" w:eastAsia="方正小标宋_GBK"/>
          <w:b w:val="0"/>
          <w:bCs w:val="0"/>
          <w:color w:val="000000" w:themeColor="text1"/>
          <w:sz w:val="30"/>
          <w14:textFill>
            <w14:solidFill>
              <w14:schemeClr w14:val="tx1"/>
            </w14:solidFill>
          </w14:textFill>
        </w:rPr>
        <w:t>安全生产领域基层政务公开标准目录</w:t>
      </w:r>
      <w:bookmarkEnd w:id="0"/>
    </w:p>
    <w:tbl>
      <w:tblPr>
        <w:tblStyle w:val="4"/>
        <w:tblW w:w="15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仿宋_GB2312"/>
                <w:color w:val="000000" w:themeColor="text1"/>
                <w:kern w:val="0"/>
                <w:sz w:val="18"/>
                <w:szCs w:val="18"/>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25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25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9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149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08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仿宋_GB2312"/>
                <w:color w:val="000000" w:themeColor="text1"/>
                <w:kern w:val="0"/>
                <w:sz w:val="18"/>
                <w:szCs w:val="18"/>
                <w14:textFill>
                  <w14:solidFill>
                    <w14:schemeClr w14:val="tx1"/>
                  </w14:solidFill>
                </w14:textFill>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25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黑体" w:cs="宋体"/>
                <w:color w:val="000000" w:themeColor="text1"/>
                <w:kern w:val="0"/>
                <w:sz w:val="22"/>
                <w14:textFill>
                  <w14:solidFill>
                    <w14:schemeClr w14:val="tx1"/>
                  </w14:solidFill>
                </w14:textFill>
              </w:rPr>
            </w:pPr>
          </w:p>
        </w:tc>
        <w:tc>
          <w:tcPr>
            <w:tcW w:w="25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黑体" w:cs="宋体"/>
                <w:color w:val="000000" w:themeColor="text1"/>
                <w:kern w:val="0"/>
                <w:sz w:val="22"/>
                <w14:textFill>
                  <w14:solidFill>
                    <w14:schemeClr w14:val="tx1"/>
                  </w14:solidFill>
                </w14:textFill>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黑体" w:cs="宋体"/>
                <w:color w:val="000000" w:themeColor="text1"/>
                <w:kern w:val="0"/>
                <w:sz w:val="22"/>
                <w14:textFill>
                  <w14:solidFill>
                    <w14:schemeClr w14:val="tx1"/>
                  </w14:solidFill>
                </w14:textFill>
              </w:rPr>
            </w:pPr>
          </w:p>
        </w:tc>
        <w:tc>
          <w:tcPr>
            <w:tcW w:w="9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p>
        </w:tc>
        <w:tc>
          <w:tcPr>
            <w:tcW w:w="149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黑体" w:cs="宋体"/>
                <w:color w:val="000000" w:themeColor="text1"/>
                <w:kern w:val="0"/>
                <w:sz w:val="22"/>
                <w14:textFill>
                  <w14:solidFill>
                    <w14:schemeClr w14:val="tx1"/>
                  </w14:solidFill>
                </w14:textFill>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政策</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法律法规</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与安全生产有关的法律、法规</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部门和地方规章</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与安全生产有关的部门和地方规章</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其他政策文件</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其他可以公开的与安全生产有关的政策文件，包括改革方案、发展规划、专项规划、工作计划等</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标准</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安全生产领域有关的国家标准、行业标准、地方标准等</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重大决策草案</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涉及管理相对人切身利益、需社会广泛知晓的重要改革方案等重大决策，决策前向社会公开决策草案、决策依据</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政策</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重大政策解读及回应</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有关重大政策的解读与回应，安全生产相关热点问题的解读与回应</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color w:val="000000" w:themeColor="text1"/>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重大决策作出后及时公开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重要会议</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通过会议讨论作出重要改革方案等重大决策时，经党组研究认为有必要公开讨论决策过程的会议</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color w:val="000000" w:themeColor="text1"/>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提前一周发通知邀请</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8</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征集采纳社会公众意见情况</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重大决策草案公布后征集到的社会公众意见情况、采纳与否情况及理由等</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color w:val="000000" w:themeColor="text1"/>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征求意见时对外公布的时限内公开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依法</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行政</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行政许可</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办理行政许可和其他对外管理服务事项的依据、条件、程序</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10</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依法</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行政</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行政处罚</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办理行政处罚的依据、条件、程序以及本级行政机关认为具有一定社会影响的行政处罚决定</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11</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行政强制</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办理行政强制的依据、条件、程序</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bookmarkStart w:id="1" w:name="_GoBack"/>
            <w:bookmarkEnd w:id="1"/>
            <w:r>
              <w:rPr>
                <w:rFonts w:hint="eastAsia" w:ascii="宋体" w:hAnsi="宋体" w:eastAsia="仿宋_GB2312"/>
                <w:bCs/>
                <w:color w:val="000000" w:themeColor="text1"/>
                <w:sz w:val="18"/>
                <w:szCs w:val="18"/>
                <w:lang w:eastAsia="zh-CN"/>
                <w14:textFill>
                  <w14:solidFill>
                    <w14:schemeClr w14:val="tx1"/>
                  </w14:solidFill>
                </w14:textFill>
              </w:rPr>
              <w:t>《中华人民共和国突发事件应对法》</w:t>
            </w:r>
            <w:r>
              <w:rPr>
                <w:rFonts w:hint="eastAsia" w:ascii="宋体" w:hAnsi="宋体" w:eastAsia="仿宋_GB2312"/>
                <w:bCs/>
                <w:color w:val="000000" w:themeColor="text1"/>
                <w:sz w:val="18"/>
                <w:szCs w:val="18"/>
                <w14:textFill>
                  <w14:solidFill>
                    <w14:schemeClr w14:val="tx1"/>
                  </w14:solidFill>
                </w14:textFill>
              </w:rPr>
              <w:t>、《突发事件应急预案管理办法》、《中共中央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12</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隐患管理</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重大隐患排查、挂牌督办及其整改情况，安全生产举报电话等</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lang w:eastAsia="zh-CN"/>
                <w14:textFill>
                  <w14:solidFill>
                    <w14:schemeClr w14:val="tx1"/>
                  </w14:solidFill>
                </w14:textFill>
              </w:rPr>
              <w:t>《中华人民共和国安全生产法》</w:t>
            </w: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13</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应急管理</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xml:space="preserve">承担处置主责、非敏感的应急信息，包括事故灾害类预警信息、事故信息、事故后采取的应急处置措施和应对结果等  </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r>
              <w:rPr>
                <w:rFonts w:hint="eastAsia" w:ascii="宋体" w:hAnsi="宋体" w:eastAsia="仿宋_GB2312"/>
                <w:bCs/>
                <w:color w:val="000000" w:themeColor="text1"/>
                <w:sz w:val="18"/>
                <w:szCs w:val="18"/>
                <w:lang w:eastAsia="zh-CN"/>
                <w14:textFill>
                  <w14:solidFill>
                    <w14:schemeClr w14:val="tx1"/>
                  </w14:solidFill>
                </w14:textFill>
              </w:rPr>
              <w:t>《中华人民共和国突发事件应对法》</w:t>
            </w:r>
            <w:r>
              <w:rPr>
                <w:rFonts w:hint="eastAsia" w:ascii="宋体" w:hAnsi="宋体" w:eastAsia="仿宋_GB2312"/>
                <w:bCs/>
                <w:color w:val="000000" w:themeColor="text1"/>
                <w:sz w:val="18"/>
                <w:szCs w:val="18"/>
                <w14:textFill>
                  <w14:solidFill>
                    <w14:schemeClr w14:val="tx1"/>
                  </w14:solidFill>
                </w14:textFill>
              </w:rPr>
              <w:t>、《关于全面加强政务公开工作的意见》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4" w:hRule="atLeast"/>
          <w:jc w:val="center"/>
        </w:trPr>
        <w:tc>
          <w:tcPr>
            <w:tcW w:w="540" w:type="dxa"/>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14</w:t>
            </w:r>
          </w:p>
        </w:tc>
        <w:tc>
          <w:tcPr>
            <w:tcW w:w="900" w:type="dxa"/>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行政管理</w:t>
            </w:r>
          </w:p>
        </w:tc>
        <w:tc>
          <w:tcPr>
            <w:tcW w:w="108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黑名单管理</w:t>
            </w:r>
          </w:p>
        </w:tc>
        <w:tc>
          <w:tcPr>
            <w:tcW w:w="252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列入或撤销纳入安全生产黑名单管理的企业信息，具体企业名称、证照编号、经营地址、负责人姓名等</w:t>
            </w:r>
          </w:p>
        </w:tc>
        <w:tc>
          <w:tcPr>
            <w:tcW w:w="252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1.《中华人民共和国政府信息公开条例》（国务院令第711号）、2.《社会信用体系建设规划纲要（2014-2020年）》</w:t>
            </w:r>
          </w:p>
        </w:tc>
        <w:tc>
          <w:tcPr>
            <w:tcW w:w="1800" w:type="dxa"/>
            <w:vAlign w:val="center"/>
          </w:tcPr>
          <w:p>
            <w:pPr>
              <w:widowControl/>
              <w:jc w:val="center"/>
              <w:textAlignment w:val="cente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自信息形成或变更之日起20个工作日内</w:t>
            </w:r>
          </w:p>
        </w:tc>
        <w:tc>
          <w:tcPr>
            <w:tcW w:w="90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spacing w:line="240" w:lineRule="exac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tc>
        <w:tc>
          <w:tcPr>
            <w:tcW w:w="664"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54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15</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事故通报</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lang w:eastAsia="zh-CN"/>
                <w14:textFill>
                  <w14:solidFill>
                    <w14:schemeClr w14:val="tx1"/>
                  </w14:solidFill>
                </w14:textFill>
              </w:rPr>
              <w:t>《中华人民共和国安全生产法》</w:t>
            </w: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按照中央有关要求公开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动态信息</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业务工作动态、安全生产执法检查动态</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■广播电视   ■纸质媒体</w:t>
            </w:r>
            <w:r>
              <w:rPr>
                <w:rFonts w:hint="eastAsia" w:ascii="宋体" w:hAnsi="宋体" w:eastAsia="仿宋_GB2312"/>
                <w:color w:val="000000" w:themeColor="text1"/>
                <w:sz w:val="18"/>
                <w:szCs w:val="18"/>
                <w14:textFill>
                  <w14:solidFill>
                    <w14:schemeClr w14:val="tx1"/>
                  </w14:solidFill>
                </w14:textFill>
              </w:rPr>
              <w:br w:type="textWrapping"/>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仿宋_GB2312" w:cs="宋体"/>
                <w:color w:val="000000" w:themeColor="text1"/>
                <w:sz w:val="18"/>
                <w:szCs w:val="18"/>
                <w:lang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17</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公共</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服务</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政务公开目录</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政务公开事项的索引、名称、内容概述、生成日期等</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18</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政务公开标准</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政府信息公开指南等流程性信息</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19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公共</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服务</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权力清单及责任清单</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同级政府审批通过的行政执法主体信息和行政许可、行政处罚、行政强制、行政检查、行政确认、行政奖励及其他行政职权等行政执法职权职责清单</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信息形成或者变更20个工作日内，如有更新，及时公开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■政务服务中心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20</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公共</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服务</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主要业务办事指南</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主要业务工作的办事依据、程序、时限，办事时间、地点、部门、联系方式及相关办理结果</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信息形成或者变更之日起20个工作日内</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   ■政务服务中心</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540" w:type="dxa"/>
            <w:vAlign w:val="center"/>
          </w:tcPr>
          <w:p>
            <w:pPr>
              <w:jc w:val="left"/>
              <w:rPr>
                <w:rFonts w:hint="eastAsia"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bCs/>
                <w:color w:val="000000" w:themeColor="text1"/>
                <w:sz w:val="18"/>
                <w:szCs w:val="18"/>
                <w:lang w:val="en-US" w:eastAsia="zh-CN"/>
                <w14:textFill>
                  <w14:solidFill>
                    <w14:schemeClr w14:val="tx1"/>
                  </w14:solidFill>
                </w14:textFill>
              </w:rPr>
              <w:t>21</w:t>
            </w:r>
          </w:p>
        </w:tc>
        <w:tc>
          <w:tcPr>
            <w:tcW w:w="900" w:type="dxa"/>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重点领域信息公开</w:t>
            </w:r>
          </w:p>
        </w:tc>
        <w:tc>
          <w:tcPr>
            <w:tcW w:w="108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办事纪律和监督管理</w:t>
            </w:r>
          </w:p>
        </w:tc>
        <w:tc>
          <w:tcPr>
            <w:tcW w:w="252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本单位的办事纪律,受理投诉、举报、信访的途径等内容</w:t>
            </w:r>
          </w:p>
        </w:tc>
        <w:tc>
          <w:tcPr>
            <w:tcW w:w="252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1.《中华人民共和国政府信息公开条例》(国务院令第711号）</w:t>
            </w:r>
          </w:p>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2.《中共中央 国务院关于推进安全生产领域改革发展的意见》（中发〔2016〕32号）</w:t>
            </w:r>
          </w:p>
        </w:tc>
        <w:tc>
          <w:tcPr>
            <w:tcW w:w="180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按进展情况及时公开</w:t>
            </w:r>
          </w:p>
        </w:tc>
        <w:tc>
          <w:tcPr>
            <w:tcW w:w="90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spacing w:line="240" w:lineRule="exac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54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22</w:t>
            </w:r>
          </w:p>
        </w:tc>
        <w:tc>
          <w:tcPr>
            <w:tcW w:w="900" w:type="dxa"/>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重点领域信息公开</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检查和巡查发现安全监管监察问题</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检查和巡查发现的、并要求向社会公开的问题及整改落实情况</w:t>
            </w:r>
          </w:p>
        </w:tc>
        <w:tc>
          <w:tcPr>
            <w:tcW w:w="252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按进展情况及时公开</w:t>
            </w:r>
          </w:p>
        </w:tc>
        <w:tc>
          <w:tcPr>
            <w:tcW w:w="900"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■政府网站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　</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cs="宋体"/>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23</w:t>
            </w:r>
          </w:p>
        </w:tc>
        <w:tc>
          <w:tcPr>
            <w:tcW w:w="900" w:type="dxa"/>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重点领域信息公开</w:t>
            </w:r>
          </w:p>
        </w:tc>
        <w:tc>
          <w:tcPr>
            <w:tcW w:w="108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建议提案办理</w:t>
            </w:r>
          </w:p>
        </w:tc>
        <w:tc>
          <w:tcPr>
            <w:tcW w:w="252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 xml:space="preserve">1.办理制度与推进情况            </w:t>
            </w:r>
          </w:p>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2.人大代表建议办理              3.政协委员提案办理</w:t>
            </w:r>
          </w:p>
        </w:tc>
        <w:tc>
          <w:tcPr>
            <w:tcW w:w="252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1.《中华人民共和国政府信息公开条例》(国务院令第711号）</w:t>
            </w:r>
          </w:p>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2.《国务院办公厅关于做好全国人大代表建议和全国政协委员提案办理结果公开工作的通知》（国办发〔2014〕46号）</w:t>
            </w:r>
          </w:p>
        </w:tc>
        <w:tc>
          <w:tcPr>
            <w:tcW w:w="1800" w:type="dxa"/>
            <w:vAlign w:val="center"/>
          </w:tcPr>
          <w:p>
            <w:pPr>
              <w:jc w:val="left"/>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按照中央有关要求公开</w:t>
            </w:r>
          </w:p>
        </w:tc>
        <w:tc>
          <w:tcPr>
            <w:tcW w:w="900" w:type="dxa"/>
            <w:vAlign w:val="center"/>
          </w:tcPr>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区经</w:t>
            </w:r>
          </w:p>
          <w:p>
            <w:pPr>
              <w:jc w:val="left"/>
              <w:rPr>
                <w:rFonts w:hint="eastAsia" w:ascii="宋体" w:hAnsi="宋体" w:eastAsia="仿宋_GB2312" w:cs="宋体"/>
                <w:bCs/>
                <w:color w:val="000000" w:themeColor="text1"/>
                <w:sz w:val="18"/>
                <w:szCs w:val="18"/>
                <w:lang w:eastAsia="zh-CN"/>
                <w14:textFill>
                  <w14:solidFill>
                    <w14:schemeClr w14:val="tx1"/>
                  </w14:solidFill>
                </w14:textFill>
              </w:rPr>
            </w:pPr>
            <w:r>
              <w:rPr>
                <w:rFonts w:hint="eastAsia" w:ascii="宋体" w:hAnsi="宋体" w:eastAsia="仿宋_GB2312" w:cs="宋体"/>
                <w:bCs/>
                <w:color w:val="000000" w:themeColor="text1"/>
                <w:sz w:val="18"/>
                <w:szCs w:val="18"/>
                <w:lang w:eastAsia="zh-CN"/>
                <w14:textFill>
                  <w14:solidFill>
                    <w14:schemeClr w14:val="tx1"/>
                  </w14:solidFill>
                </w14:textFill>
              </w:rPr>
              <w:t>发局</w:t>
            </w:r>
          </w:p>
        </w:tc>
        <w:tc>
          <w:tcPr>
            <w:tcW w:w="1496" w:type="dxa"/>
            <w:vAlign w:val="center"/>
          </w:tcPr>
          <w:p>
            <w:pPr>
              <w:spacing w:line="240" w:lineRule="exac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tc>
        <w:tc>
          <w:tcPr>
            <w:tcW w:w="664"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720" w:type="dxa"/>
            <w:vAlign w:val="center"/>
          </w:tcPr>
          <w:p>
            <w:pPr>
              <w:rPr>
                <w:rFonts w:hint="eastAsia" w:ascii="宋体" w:hAnsi="宋体" w:eastAsia="仿宋_GB2312"/>
                <w:bCs/>
                <w:color w:val="000000" w:themeColor="text1"/>
                <w:sz w:val="18"/>
                <w:szCs w:val="18"/>
                <w14:textFill>
                  <w14:solidFill>
                    <w14:schemeClr w14:val="tx1"/>
                  </w14:solidFill>
                </w14:textFill>
              </w:rPr>
            </w:pPr>
          </w:p>
        </w:tc>
        <w:tc>
          <w:tcPr>
            <w:tcW w:w="540" w:type="dxa"/>
            <w:vAlign w:val="center"/>
          </w:tcPr>
          <w:p>
            <w:pPr>
              <w:rPr>
                <w:rFonts w:hint="eastAsia" w:ascii="宋体" w:hAnsi="宋体" w:eastAsia="仿宋_GB2312"/>
                <w:bCs/>
                <w:color w:val="000000" w:themeColor="text1"/>
                <w:sz w:val="18"/>
                <w:szCs w:val="18"/>
                <w14:textFill>
                  <w14:solidFill>
                    <w14:schemeClr w14:val="tx1"/>
                  </w14:solidFill>
                </w14:textFill>
              </w:rPr>
            </w:pPr>
            <w:r>
              <w:rPr>
                <w:rFonts w:hint="eastAsia" w:ascii="宋体" w:hAnsi="宋体" w:eastAsia="仿宋_GB2312"/>
                <w:bCs/>
                <w:color w:val="000000" w:themeColor="text1"/>
                <w:sz w:val="18"/>
                <w:szCs w:val="18"/>
                <w14:textFill>
                  <w14:solidFill>
                    <w14:schemeClr w14:val="tx1"/>
                  </w14:solidFill>
                </w14:textFill>
              </w:rPr>
              <w:t>√</w:t>
            </w:r>
          </w:p>
        </w:tc>
        <w:tc>
          <w:tcPr>
            <w:tcW w:w="54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仿宋_GB2312"/>
                <w:bCs/>
                <w:color w:val="000000" w:themeColor="text1"/>
                <w:sz w:val="18"/>
                <w:szCs w:val="18"/>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505C6"/>
    <w:rsid w:val="74D522B4"/>
    <w:rsid w:val="7BB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2020-12-17T09:55:00Z</dcterms:created>
  <dc:creator>郑敏锋</dc:creator>
  <cp:lastModifiedBy>Lenovo</cp:lastModifiedBy>
  <dcterms:modified xsi:type="dcterms:W3CDTF">2024-07-02T08:38:54Z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