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240" w:lineRule="atLeast"/>
        <w:jc w:val="center"/>
        <w:textAlignment w:val="auto"/>
        <w:rPr>
          <w:rFonts w:hint="eastAsia" w:ascii="宋体" w:hAnsi="宋体" w:eastAsia="方正小标宋_GBK"/>
          <w:b w:val="0"/>
          <w:color w:val="000000" w:themeColor="text1"/>
          <w:sz w:val="30"/>
          <w:szCs w:val="30"/>
          <w14:textFill>
            <w14:solidFill>
              <w14:schemeClr w14:val="tx1"/>
            </w14:solidFill>
          </w14:textFill>
        </w:rPr>
      </w:pPr>
      <w:bookmarkStart w:id="0" w:name="_GoBack"/>
      <w:r>
        <w:rPr>
          <w:rFonts w:hint="eastAsia" w:ascii="宋体" w:hAnsi="宋体" w:eastAsia="方正小标宋_GBK"/>
          <w:b w:val="0"/>
          <w:color w:val="000000" w:themeColor="text1"/>
          <w:sz w:val="30"/>
          <w:szCs w:val="30"/>
          <w14:textFill>
            <w14:solidFill>
              <w14:schemeClr w14:val="tx1"/>
            </w14:solidFill>
          </w14:textFill>
        </w:rPr>
        <w:t>社会保险领域基层政务公开标准目录</w:t>
      </w:r>
    </w:p>
    <w:bookmarkEnd w:id="0"/>
    <w:tbl>
      <w:tblPr>
        <w:tblStyle w:val="3"/>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olor w:val="000000" w:themeColor="text1"/>
                <w:kern w:val="0"/>
                <w:sz w:val="22"/>
                <w14:textFill>
                  <w14:solidFill>
                    <w14:schemeClr w14:val="tx1"/>
                  </w14:solidFill>
                </w14:textFill>
              </w:rPr>
            </w:pPr>
            <w:r>
              <w:rPr>
                <w:rFonts w:hint="eastAsia" w:ascii="宋体" w:hAnsi="宋体" w:eastAsia="黑体"/>
                <w:color w:val="000000" w:themeColor="text1"/>
                <w:kern w:val="0"/>
                <w:sz w:val="22"/>
                <w14:textFill>
                  <w14:solidFill>
                    <w14:schemeClr w14:val="tx1"/>
                  </w14:solidFill>
                </w14:textFill>
              </w:rPr>
              <w:t>序号</w:t>
            </w:r>
          </w:p>
        </w:tc>
        <w:tc>
          <w:tcPr>
            <w:tcW w:w="1800" w:type="dxa"/>
            <w:gridSpan w:val="2"/>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3060" w:type="dxa"/>
            <w:vMerge w:val="restart"/>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2036" w:type="dxa"/>
            <w:vMerge w:val="restart"/>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1620" w:type="dxa"/>
            <w:vMerge w:val="restart"/>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1024" w:type="dxa"/>
            <w:vMerge w:val="restart"/>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1496" w:type="dxa"/>
            <w:vMerge w:val="restart"/>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440" w:type="dxa"/>
            <w:gridSpan w:val="2"/>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260" w:type="dxa"/>
            <w:gridSpan w:val="2"/>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440" w:type="dxa"/>
            <w:gridSpan w:val="2"/>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pageBreakBefore w:val="0"/>
              <w:widowControl/>
              <w:kinsoku/>
              <w:wordWrap/>
              <w:overflowPunct/>
              <w:topLinePunct w:val="0"/>
              <w:autoSpaceDE/>
              <w:autoSpaceDN/>
              <w:bidi w:val="0"/>
              <w:spacing w:line="240" w:lineRule="atLeast"/>
              <w:jc w:val="center"/>
              <w:rPr>
                <w:rFonts w:ascii="宋体" w:hAnsi="宋体"/>
                <w:color w:val="000000" w:themeColor="text1"/>
                <w:kern w:val="0"/>
                <w:sz w:val="15"/>
                <w:szCs w:val="15"/>
                <w14:textFill>
                  <w14:solidFill>
                    <w14:schemeClr w14:val="tx1"/>
                  </w14:solidFill>
                </w14:textFill>
              </w:rPr>
            </w:pP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108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3060" w:type="dxa"/>
            <w:vMerge w:val="continue"/>
            <w:noWrap w:val="0"/>
            <w:vAlign w:val="center"/>
          </w:tcPr>
          <w:p>
            <w:pPr>
              <w:pageBreakBefore w:val="0"/>
              <w:widowControl/>
              <w:kinsoku/>
              <w:wordWrap/>
              <w:overflowPunct/>
              <w:topLinePunct w:val="0"/>
              <w:autoSpaceDE/>
              <w:autoSpaceDN/>
              <w:bidi w:val="0"/>
              <w:spacing w:line="240" w:lineRule="atLeast"/>
              <w:rPr>
                <w:rFonts w:ascii="宋体" w:hAnsi="宋体" w:eastAsia="黑体" w:cs="宋体"/>
                <w:color w:val="000000" w:themeColor="text1"/>
                <w:kern w:val="0"/>
                <w:sz w:val="22"/>
                <w14:textFill>
                  <w14:solidFill>
                    <w14:schemeClr w14:val="tx1"/>
                  </w14:solidFill>
                </w14:textFill>
              </w:rPr>
            </w:pPr>
          </w:p>
        </w:tc>
        <w:tc>
          <w:tcPr>
            <w:tcW w:w="2036" w:type="dxa"/>
            <w:vMerge w:val="continue"/>
            <w:noWrap w:val="0"/>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1620" w:type="dxa"/>
            <w:vMerge w:val="continue"/>
            <w:noWrap w:val="0"/>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1024" w:type="dxa"/>
            <w:vMerge w:val="continue"/>
            <w:noWrap w:val="0"/>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1496" w:type="dxa"/>
            <w:vMerge w:val="continue"/>
            <w:noWrap w:val="0"/>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54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720" w:type="dxa"/>
            <w:noWrap w:val="0"/>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社会保险登记</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城乡居民养老保险参保登记</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社会保险参保信息维护</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个人基本信息变更</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社会保险参保信息维护</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养老保险待遇发放账户维护申请</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社会保险缴费申报</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缴费人员增减申报</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社会保险缴费申报</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社会保险费欠费补缴申报</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6</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社会保险参保缴费记录查询</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个人权益记录查询打印</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《政府信息公开条例》、《社会保险法》、《社会保险费征缴暂行条例》</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7</w:t>
            </w:r>
          </w:p>
        </w:tc>
        <w:tc>
          <w:tcPr>
            <w:tcW w:w="7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城乡居民养老保险服务</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城乡居民养老保险待遇申领</w:t>
            </w:r>
          </w:p>
        </w:tc>
        <w:tc>
          <w:tcPr>
            <w:tcW w:w="306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《政府信息公开条例》、《社会保险法》、《劳动保险条例》</w:t>
            </w:r>
          </w:p>
          <w:p>
            <w:pPr>
              <w:pageBreakBefore w:val="0"/>
              <w:kinsoku/>
              <w:wordWrap/>
              <w:overflowPunct/>
              <w:topLinePunct w:val="0"/>
              <w:autoSpaceDE/>
              <w:autoSpaceDN/>
              <w:bidi w:val="0"/>
              <w:spacing w:line="240" w:lineRule="atLeast"/>
              <w:jc w:val="left"/>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6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p>
            <w:pPr>
              <w:pageBreakBefore w:val="0"/>
              <w:kinsoku/>
              <w:wordWrap/>
              <w:overflowPunct/>
              <w:topLinePunct w:val="0"/>
              <w:autoSpaceDE/>
              <w:autoSpaceDN/>
              <w:bidi w:val="0"/>
              <w:spacing w:line="240" w:lineRule="atLeast"/>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1024" w:type="dxa"/>
            <w:vMerge w:val="restart"/>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vMerge w:val="restart"/>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8</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暂停养老保险待遇申请</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9</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恢复养老保险待遇申请</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10</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个人账户一次性待遇申领</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11</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丧葬补助金、抚恤金申领</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12</w:t>
            </w:r>
          </w:p>
        </w:tc>
        <w:tc>
          <w:tcPr>
            <w:tcW w:w="7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城乡居民养老保险服务</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居民养老保险注销登记</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《信息公开条例》、《社会保险法》、《劳动保险条例》</w:t>
            </w:r>
          </w:p>
        </w:tc>
        <w:tc>
          <w:tcPr>
            <w:tcW w:w="1620"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13</w:t>
            </w:r>
          </w:p>
        </w:tc>
        <w:tc>
          <w:tcPr>
            <w:tcW w:w="7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城乡居民养老保险服务</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城乡居民基本养老保险关系转移接续申请</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《政府信息公开条例》、《社会保险法》、《劳动保险条例》</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14</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城镇职工基本养老保险与城乡居民基本养老保险制度衔接申请  </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《政府信息公开条例》、《社会保险法》《人力资源社会保障部财政部关于印发＜城乡养老保险制度衔接暂行办法＞的通知》</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15</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多重养老保险关系个人账户退费</w:t>
            </w:r>
          </w:p>
        </w:tc>
        <w:tc>
          <w:tcPr>
            <w:tcW w:w="306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《政府信息公开条例》、《社会保险法》、《人力资源和社会保障部＜关于贯彻落实国务院办公厅转发城镇企业职工基本养老保险关系转移接续暂行办法的通知》</w:t>
            </w:r>
          </w:p>
        </w:tc>
        <w:tc>
          <w:tcPr>
            <w:tcW w:w="162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16</w:t>
            </w:r>
          </w:p>
        </w:tc>
        <w:tc>
          <w:tcPr>
            <w:tcW w:w="7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社会保障卡服务</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社会保障卡申领</w:t>
            </w:r>
          </w:p>
        </w:tc>
        <w:tc>
          <w:tcPr>
            <w:tcW w:w="306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《政府信息公开条例》、《社会保险法》、《人力资源和社会保障部关于印发“中华人民共和国社会保障卡”管理办法的通知》</w:t>
            </w:r>
          </w:p>
        </w:tc>
        <w:tc>
          <w:tcPr>
            <w:tcW w:w="16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vMerge w:val="restart"/>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lang w:eastAsia="zh-CN"/>
                <w14:textFill>
                  <w14:solidFill>
                    <w14:schemeClr w14:val="tx1"/>
                  </w14:solidFill>
                </w14:textFill>
              </w:rPr>
            </w:pPr>
          </w:p>
        </w:tc>
        <w:tc>
          <w:tcPr>
            <w:tcW w:w="1496" w:type="dxa"/>
            <w:vMerge w:val="restart"/>
            <w:noWrap w:val="0"/>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17</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社会保障卡启用（</w:t>
            </w:r>
            <w:r>
              <w:rPr>
                <w:rFonts w:hint="eastAsia" w:ascii="宋体" w:hAnsi="宋体" w:eastAsia="仿宋_GB2312"/>
                <w:color w:val="000000" w:themeColor="text1"/>
                <w:sz w:val="18"/>
                <w:szCs w:val="18"/>
                <w:lang w:eastAsia="zh-CN"/>
                <w14:textFill>
                  <w14:solidFill>
                    <w14:schemeClr w14:val="tx1"/>
                  </w14:solidFill>
                </w14:textFill>
              </w:rPr>
              <w:t>不含金融功能</w:t>
            </w:r>
            <w:r>
              <w:rPr>
                <w:rFonts w:hint="eastAsia" w:ascii="宋体" w:hAnsi="宋体" w:eastAsia="仿宋_GB2312"/>
                <w:color w:val="000000" w:themeColor="text1"/>
                <w:sz w:val="18"/>
                <w:szCs w:val="18"/>
                <w14:textFill>
                  <w14:solidFill>
                    <w14:schemeClr w14:val="tx1"/>
                  </w14:solidFill>
                </w14:textFill>
              </w:rPr>
              <w:t>激活）</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18</w:t>
            </w:r>
          </w:p>
        </w:tc>
        <w:tc>
          <w:tcPr>
            <w:tcW w:w="7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社会保障卡应用状态查询</w:t>
            </w:r>
          </w:p>
        </w:tc>
        <w:tc>
          <w:tcPr>
            <w:tcW w:w="306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19</w:t>
            </w:r>
          </w:p>
        </w:tc>
        <w:tc>
          <w:tcPr>
            <w:tcW w:w="7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社会保障卡服务</w:t>
            </w:r>
          </w:p>
        </w:tc>
        <w:tc>
          <w:tcPr>
            <w:tcW w:w="1080" w:type="dxa"/>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社会保障卡信息变更（非关键信息）</w:t>
            </w:r>
          </w:p>
        </w:tc>
        <w:tc>
          <w:tcPr>
            <w:tcW w:w="306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《政府信息公开条例》、《社会保险法》、《人力资源和社会保障部关于印发“中华人民共和国社会保障卡”管理办法的通知》</w:t>
            </w:r>
          </w:p>
        </w:tc>
        <w:tc>
          <w:tcPr>
            <w:tcW w:w="1620"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公开事项信息形成或变更之日起20个工作日内公开</w:t>
            </w:r>
          </w:p>
        </w:tc>
        <w:tc>
          <w:tcPr>
            <w:tcW w:w="1024"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区人社局</w:t>
            </w:r>
          </w:p>
        </w:tc>
        <w:tc>
          <w:tcPr>
            <w:tcW w:w="1496" w:type="dxa"/>
            <w:vMerge w:val="restart"/>
            <w:noWrap w:val="0"/>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   ■政务服务中心</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■基层公共服务平台</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20</w:t>
            </w:r>
          </w:p>
        </w:tc>
        <w:tc>
          <w:tcPr>
            <w:tcW w:w="7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社会保障卡密码修改与重置</w:t>
            </w:r>
          </w:p>
        </w:tc>
        <w:tc>
          <w:tcPr>
            <w:tcW w:w="306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21</w:t>
            </w:r>
          </w:p>
        </w:tc>
        <w:tc>
          <w:tcPr>
            <w:tcW w:w="720" w:type="dxa"/>
            <w:vMerge w:val="continue"/>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社会保障卡挂失与解挂</w:t>
            </w:r>
          </w:p>
        </w:tc>
        <w:tc>
          <w:tcPr>
            <w:tcW w:w="306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22</w:t>
            </w:r>
          </w:p>
        </w:tc>
        <w:tc>
          <w:tcPr>
            <w:tcW w:w="7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社会保障卡补换、换领、换发</w:t>
            </w:r>
          </w:p>
        </w:tc>
        <w:tc>
          <w:tcPr>
            <w:tcW w:w="306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pageBreakBefore w:val="0"/>
              <w:kinsoku/>
              <w:wordWrap/>
              <w:overflowPunct/>
              <w:topLinePunct w:val="0"/>
              <w:autoSpaceDE/>
              <w:autoSpaceDN/>
              <w:bidi w:val="0"/>
              <w:spacing w:line="240" w:lineRule="atLeast"/>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23</w:t>
            </w:r>
          </w:p>
        </w:tc>
        <w:tc>
          <w:tcPr>
            <w:tcW w:w="7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80" w:type="dxa"/>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社会保障卡注销</w:t>
            </w:r>
          </w:p>
        </w:tc>
        <w:tc>
          <w:tcPr>
            <w:tcW w:w="306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203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620"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024"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1496" w:type="dxa"/>
            <w:vMerge w:val="continue"/>
            <w:noWrap w:val="0"/>
            <w:vAlign w:val="center"/>
          </w:tcPr>
          <w:p>
            <w:pPr>
              <w:pageBreakBefore w:val="0"/>
              <w:kinsoku/>
              <w:wordWrap/>
              <w:overflowPunct/>
              <w:topLinePunct w:val="0"/>
              <w:autoSpaceDE/>
              <w:autoSpaceDN/>
              <w:bidi w:val="0"/>
              <w:spacing w:line="240" w:lineRule="atLeast"/>
              <w:rPr>
                <w:rFonts w:ascii="宋体" w:hAnsi="宋体" w:eastAsia="仿宋_GB2312"/>
                <w:color w:val="000000" w:themeColor="text1"/>
                <w:sz w:val="18"/>
                <w:szCs w:val="18"/>
                <w14:textFill>
                  <w14:solidFill>
                    <w14:schemeClr w14:val="tx1"/>
                  </w14:solidFill>
                </w14:textFill>
              </w:rPr>
            </w:pP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noWrap w:val="0"/>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A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2020-12-17T03:48:11Z</dcterms:created>
  <dc:creator>郑敏锋</dc:creator>
  <cp:lastModifiedBy>荆棘鸟</cp:lastModifiedBy>
  <dcterms:modified xsi:type="dcterms:W3CDTF">2020-12-17T03:49:25Z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