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center"/>
        <w:textAlignment w:val="auto"/>
        <w:rPr>
          <w:rFonts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财政预决算领域基层政务公开标准目录</w:t>
      </w:r>
    </w:p>
    <w:tbl>
      <w:tblPr>
        <w:tblStyle w:val="4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一般公共预算：①一般公共预算收入表。②一般公共预算支出表。③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一般公共预算支出表（款项）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bookmarkStart w:id="0" w:name="_GoBack"/>
            <w:bookmarkEnd w:id="0"/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政府性基金预算：①政府性基金收入表。②政府性基金支出表。③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政府性基金支出表（款项）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国有资本经营预算：①国有资本经营预算收入表。②国有资本经营预算支出表。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《预算法》《政府信息公开条例》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《财政部关于印发&lt;地方政府债务信息公开办法（试行）&gt;的通知》等法律法规和文件规定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本级人民代表大会或其常务委员会批准后20日内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《预算法》《政府信息公开条例》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一般公共预算：①一般公共预算收入表。②一般公共预算支出表。③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一般公共预算支出表（款项）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、《财政部关于印发&lt;地方政府债务信息公开办法（试行）&gt;的通知》等法律法规和文件规定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本级人民代表大会或其常务委员会批准后20日内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政府性基金预算：①政府性基金收入表。②政府性基金支出表。③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政府性基金支出表（款项）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。④政府性基金转移支付表。⑤政府专项债务限额和余额情况表。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本级人民代表大会或其常务委员会批准后20日内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国有资本经营预算：①国有资本经营预算收入表。②国有资本经营预算支出表。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本级人民代表大会或其常务委员会批准后20日内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hint="eastAsia" w:ascii="宋体" w:hAnsi="宋体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等法律法规和文件规定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本级政府财政部门批复后20日内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等法律法规和文件规定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本级政府财政部门批复后20日内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等法律法规和文件规定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本级政府财政部门批复后20日内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财政预决算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《预算法》、《政府信息公开条例》、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《财政部关于印发〈地方预决算公开操作规程〉的通知》</w:t>
            </w: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等法律法规和文件规定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本级政府财政部门批复后20日内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ascii="宋体" w:hAnsi="宋体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233C"/>
    <w:rsid w:val="168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2020-12-17T03:30:00Z</dcterms:created>
  <dc:creator>郑敏锋</dc:creator>
  <cp:lastModifiedBy>Lenovo</cp:lastModifiedBy>
  <dcterms:modified xsi:type="dcterms:W3CDTF">2024-07-02T08:34:07Z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