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tLeast"/>
        <w:jc w:val="center"/>
        <w:textAlignment w:val="auto"/>
        <w:rPr>
          <w:rFonts w:hint="eastAsia" w:ascii="宋体" w:hAnsi="宋体" w:eastAsia="方正小标宋_GBK"/>
          <w:b w:val="0"/>
          <w:bCs w:val="0"/>
          <w:color w:val="000000" w:themeColor="text1"/>
          <w:sz w:val="30"/>
          <w14:textFill>
            <w14:solidFill>
              <w14:schemeClr w14:val="tx1"/>
            </w14:solidFill>
          </w14:textFill>
        </w:rPr>
      </w:pPr>
      <w:r>
        <w:rPr>
          <w:rFonts w:hint="eastAsia" w:ascii="宋体" w:hAnsi="宋体" w:eastAsia="方正小标宋_GBK"/>
          <w:b w:val="0"/>
          <w:bCs w:val="0"/>
          <w:color w:val="000000" w:themeColor="text1"/>
          <w:sz w:val="30"/>
          <w14:textFill>
            <w14:solidFill>
              <w14:schemeClr w14:val="tx1"/>
            </w14:solidFill>
          </w14:textFill>
        </w:rPr>
        <w:t>公共法律服务领域基层政务公开标准目录</w:t>
      </w:r>
    </w:p>
    <w:tbl>
      <w:tblPr>
        <w:tblStyle w:val="4"/>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序号</w:t>
            </w:r>
          </w:p>
        </w:tc>
        <w:tc>
          <w:tcPr>
            <w:tcW w:w="2340" w:type="dxa"/>
            <w:gridSpan w:val="2"/>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公开事项</w:t>
            </w:r>
          </w:p>
        </w:tc>
        <w:tc>
          <w:tcPr>
            <w:tcW w:w="1620" w:type="dxa"/>
            <w:vMerge w:val="restart"/>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公开内容（要素）</w:t>
            </w:r>
          </w:p>
        </w:tc>
        <w:tc>
          <w:tcPr>
            <w:tcW w:w="1980" w:type="dxa"/>
            <w:vMerge w:val="restart"/>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公开依据</w:t>
            </w:r>
          </w:p>
        </w:tc>
        <w:tc>
          <w:tcPr>
            <w:tcW w:w="1800" w:type="dxa"/>
            <w:vMerge w:val="restart"/>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公开时限</w:t>
            </w:r>
          </w:p>
        </w:tc>
        <w:tc>
          <w:tcPr>
            <w:tcW w:w="900" w:type="dxa"/>
            <w:vMerge w:val="restart"/>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公开主体</w:t>
            </w:r>
          </w:p>
        </w:tc>
        <w:tc>
          <w:tcPr>
            <w:tcW w:w="2340" w:type="dxa"/>
            <w:vMerge w:val="restart"/>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公开渠道和载体</w:t>
            </w:r>
          </w:p>
        </w:tc>
        <w:tc>
          <w:tcPr>
            <w:tcW w:w="1440" w:type="dxa"/>
            <w:gridSpan w:val="2"/>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公开对象</w:t>
            </w:r>
          </w:p>
        </w:tc>
        <w:tc>
          <w:tcPr>
            <w:tcW w:w="1260" w:type="dxa"/>
            <w:gridSpan w:val="2"/>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公开方式</w:t>
            </w:r>
          </w:p>
        </w:tc>
        <w:tc>
          <w:tcPr>
            <w:tcW w:w="1260" w:type="dxa"/>
            <w:gridSpan w:val="2"/>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ascii="宋体" w:hAnsi="宋体"/>
                <w:color w:val="000000" w:themeColor="text1"/>
                <w:kern w:val="0"/>
                <w:sz w:val="22"/>
                <w14:textFill>
                  <w14:solidFill>
                    <w14:schemeClr w14:val="tx1"/>
                  </w14:solidFill>
                </w14:textFill>
              </w:rPr>
            </w:pPr>
          </w:p>
        </w:tc>
        <w:tc>
          <w:tcPr>
            <w:tcW w:w="900" w:type="dxa"/>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一级事项</w:t>
            </w:r>
          </w:p>
        </w:tc>
        <w:tc>
          <w:tcPr>
            <w:tcW w:w="1440" w:type="dxa"/>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二级事项</w:t>
            </w:r>
          </w:p>
        </w:tc>
        <w:tc>
          <w:tcPr>
            <w:tcW w:w="1620" w:type="dxa"/>
            <w:vMerge w:val="continue"/>
            <w:vAlign w:val="center"/>
          </w:tcPr>
          <w:p>
            <w:pPr>
              <w:pageBreakBefore w:val="0"/>
              <w:widowControl/>
              <w:kinsoku/>
              <w:wordWrap/>
              <w:overflowPunct/>
              <w:topLinePunct w:val="0"/>
              <w:autoSpaceDE/>
              <w:autoSpaceDN/>
              <w:bidi w:val="0"/>
              <w:spacing w:line="240" w:lineRule="atLeast"/>
              <w:jc w:val="left"/>
              <w:rPr>
                <w:rFonts w:ascii="宋体" w:hAnsi="宋体" w:eastAsia="黑体" w:cs="宋体"/>
                <w:color w:val="000000" w:themeColor="text1"/>
                <w:kern w:val="0"/>
                <w:sz w:val="22"/>
                <w14:textFill>
                  <w14:solidFill>
                    <w14:schemeClr w14:val="tx1"/>
                  </w14:solidFill>
                </w14:textFill>
              </w:rPr>
            </w:pPr>
          </w:p>
        </w:tc>
        <w:tc>
          <w:tcPr>
            <w:tcW w:w="1980" w:type="dxa"/>
            <w:vMerge w:val="continue"/>
            <w:vAlign w:val="center"/>
          </w:tcPr>
          <w:p>
            <w:pPr>
              <w:pageBreakBefore w:val="0"/>
              <w:widowControl/>
              <w:kinsoku/>
              <w:wordWrap/>
              <w:overflowPunct/>
              <w:topLinePunct w:val="0"/>
              <w:autoSpaceDE/>
              <w:autoSpaceDN/>
              <w:bidi w:val="0"/>
              <w:spacing w:line="240" w:lineRule="atLeast"/>
              <w:jc w:val="left"/>
              <w:rPr>
                <w:rFonts w:ascii="宋体" w:hAnsi="宋体" w:eastAsia="黑体" w:cs="宋体"/>
                <w:color w:val="000000" w:themeColor="text1"/>
                <w:kern w:val="0"/>
                <w:sz w:val="22"/>
                <w14:textFill>
                  <w14:solidFill>
                    <w14:schemeClr w14:val="tx1"/>
                  </w14:solidFill>
                </w14:textFill>
              </w:rPr>
            </w:pP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ascii="宋体" w:hAnsi="宋体" w:eastAsia="黑体" w:cs="宋体"/>
                <w:color w:val="000000" w:themeColor="text1"/>
                <w:kern w:val="0"/>
                <w:sz w:val="22"/>
                <w14:textFill>
                  <w14:solidFill>
                    <w14:schemeClr w14:val="tx1"/>
                  </w14:solidFill>
                </w14:textFill>
              </w:rPr>
            </w:pPr>
          </w:p>
        </w:tc>
        <w:tc>
          <w:tcPr>
            <w:tcW w:w="900" w:type="dxa"/>
            <w:vMerge w:val="continue"/>
            <w:vAlign w:val="center"/>
          </w:tcPr>
          <w:p>
            <w:pPr>
              <w:pageBreakBefore w:val="0"/>
              <w:widowControl/>
              <w:kinsoku/>
              <w:wordWrap/>
              <w:overflowPunct/>
              <w:topLinePunct w:val="0"/>
              <w:autoSpaceDE/>
              <w:autoSpaceDN/>
              <w:bidi w:val="0"/>
              <w:spacing w:line="240" w:lineRule="atLeast"/>
              <w:jc w:val="left"/>
              <w:rPr>
                <w:rFonts w:ascii="宋体" w:hAnsi="宋体" w:eastAsia="黑体" w:cs="宋体"/>
                <w:color w:val="000000" w:themeColor="text1"/>
                <w:kern w:val="0"/>
                <w:sz w:val="22"/>
                <w14:textFill>
                  <w14:solidFill>
                    <w14:schemeClr w14:val="tx1"/>
                  </w14:solidFill>
                </w14:textFill>
              </w:rPr>
            </w:pPr>
          </w:p>
        </w:tc>
        <w:tc>
          <w:tcPr>
            <w:tcW w:w="2340" w:type="dxa"/>
            <w:vMerge w:val="continue"/>
            <w:vAlign w:val="center"/>
          </w:tcPr>
          <w:p>
            <w:pPr>
              <w:pageBreakBefore w:val="0"/>
              <w:widowControl/>
              <w:kinsoku/>
              <w:wordWrap/>
              <w:overflowPunct/>
              <w:topLinePunct w:val="0"/>
              <w:autoSpaceDE/>
              <w:autoSpaceDN/>
              <w:bidi w:val="0"/>
              <w:spacing w:line="240" w:lineRule="atLeast"/>
              <w:jc w:val="left"/>
              <w:rPr>
                <w:rFonts w:ascii="宋体" w:hAnsi="宋体" w:eastAsia="黑体" w:cs="宋体"/>
                <w:color w:val="000000" w:themeColor="text1"/>
                <w:kern w:val="0"/>
                <w:sz w:val="22"/>
                <w14:textFill>
                  <w14:solidFill>
                    <w14:schemeClr w14:val="tx1"/>
                  </w14:solidFill>
                </w14:textFill>
              </w:rPr>
            </w:pPr>
          </w:p>
        </w:tc>
        <w:tc>
          <w:tcPr>
            <w:tcW w:w="540" w:type="dxa"/>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全社会</w:t>
            </w:r>
          </w:p>
        </w:tc>
        <w:tc>
          <w:tcPr>
            <w:tcW w:w="900" w:type="dxa"/>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特定群众</w:t>
            </w:r>
          </w:p>
        </w:tc>
        <w:tc>
          <w:tcPr>
            <w:tcW w:w="540" w:type="dxa"/>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主动</w:t>
            </w:r>
          </w:p>
        </w:tc>
        <w:tc>
          <w:tcPr>
            <w:tcW w:w="720" w:type="dxa"/>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依申请公开</w:t>
            </w:r>
          </w:p>
        </w:tc>
        <w:tc>
          <w:tcPr>
            <w:tcW w:w="540" w:type="dxa"/>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县级</w:t>
            </w:r>
          </w:p>
        </w:tc>
        <w:tc>
          <w:tcPr>
            <w:tcW w:w="720" w:type="dxa"/>
            <w:vAlign w:val="center"/>
          </w:tcPr>
          <w:p>
            <w:pPr>
              <w:pageBreakBefore w:val="0"/>
              <w:widowControl/>
              <w:kinsoku/>
              <w:wordWrap/>
              <w:overflowPunct/>
              <w:topLinePunct w:val="0"/>
              <w:autoSpaceDE/>
              <w:autoSpaceDN/>
              <w:bidi w:val="0"/>
              <w:spacing w:line="240" w:lineRule="atLeast"/>
              <w:jc w:val="center"/>
              <w:rPr>
                <w:rFonts w:ascii="宋体" w:hAnsi="宋体" w:eastAsia="黑体" w:cs="宋体"/>
                <w:color w:val="000000" w:themeColor="text1"/>
                <w:kern w:val="0"/>
                <w:sz w:val="22"/>
                <w14:textFill>
                  <w14:solidFill>
                    <w14:schemeClr w14:val="tx1"/>
                  </w14:solidFill>
                </w14:textFill>
              </w:rPr>
            </w:pPr>
            <w:r>
              <w:rPr>
                <w:rFonts w:hint="eastAsia" w:ascii="宋体" w:hAnsi="宋体" w:eastAsia="黑体" w:cs="宋体"/>
                <w:color w:val="000000" w:themeColor="text1"/>
                <w:kern w:val="0"/>
                <w:sz w:val="22"/>
                <w14:textFill>
                  <w14:solidFill>
                    <w14:schemeClr w14:val="tx1"/>
                  </w14:solidFill>
                </w14:textFill>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p>
        </w:tc>
        <w:tc>
          <w:tcPr>
            <w:tcW w:w="900" w:type="dxa"/>
            <w:vMerge w:val="restart"/>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法治宣传教育</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法律知识普及服务</w:t>
            </w:r>
          </w:p>
        </w:tc>
        <w:tc>
          <w:tcPr>
            <w:tcW w:w="162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法律法规资讯；普法动态资讯；普法讲师团信息等</w:t>
            </w:r>
          </w:p>
        </w:tc>
        <w:tc>
          <w:tcPr>
            <w:tcW w:w="198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《中共中央、国务院转发&lt;中央宣传部、司法部关于在公民中开展法治宣传教育的第七个五年规划（2016－2020年）&gt;》、各省“七五”普法规划</w:t>
            </w:r>
          </w:p>
        </w:tc>
        <w:tc>
          <w:tcPr>
            <w:tcW w:w="180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widowControl/>
              <w:kinsoku/>
              <w:wordWrap/>
              <w:overflowPunct/>
              <w:topLinePunct w:val="0"/>
              <w:autoSpaceDE/>
              <w:autoSpaceDN/>
              <w:bidi w:val="0"/>
              <w:spacing w:line="240" w:lineRule="atLeast"/>
              <w:jc w:val="left"/>
              <w:textAlignment w:val="center"/>
              <w:rPr>
                <w:rFonts w:hint="eastAsia" w:ascii="宋体" w:hAnsi="宋体" w:eastAsia="仿宋_GB2312"/>
                <w:color w:val="000000" w:themeColor="text1"/>
                <w:sz w:val="18"/>
                <w:szCs w:val="18"/>
                <w:lang w:eastAsia="zh-CN"/>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■两微一端</w:t>
            </w:r>
          </w:p>
        </w:tc>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widowControl/>
              <w:kinsoku/>
              <w:wordWrap/>
              <w:overflowPunct/>
              <w:topLinePunct w:val="0"/>
              <w:autoSpaceDE/>
              <w:autoSpaceDN/>
              <w:bidi w:val="0"/>
              <w:spacing w:line="240" w:lineRule="atLeast"/>
              <w:jc w:val="center"/>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2</w:t>
            </w:r>
          </w:p>
        </w:tc>
        <w:tc>
          <w:tcPr>
            <w:tcW w:w="900" w:type="dxa"/>
            <w:vMerge w:val="continue"/>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推广法治文化服务</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辖区内法治文化阵地信息；法治文化作品、产品</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同上</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hint="eastAsia"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■两微一端</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3</w:t>
            </w:r>
          </w:p>
        </w:tc>
        <w:tc>
          <w:tcPr>
            <w:tcW w:w="900" w:type="dxa"/>
            <w:vMerge w:val="continue"/>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对在法治宣传教育工作中做出显著成绩的单位和个人进行表彰奖励</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评选表彰通知；先进集体和个人申报表（空白表）；拟表彰的先进集体先进个人名单；表彰决定</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同上</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■两微一端</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4" w:hRule="atLeas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4</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法律援助服务</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给予法律援助决定书；不予法律援助决定书；指派通知书</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《法律援助条例》、《</w:t>
            </w:r>
            <w:r>
              <w:rPr>
                <w:rFonts w:hint="eastAsia" w:ascii="宋体" w:hAnsi="宋体" w:eastAsia="仿宋_GB2312"/>
                <w:color w:val="000000" w:themeColor="text1"/>
                <w:sz w:val="18"/>
                <w:szCs w:val="18"/>
                <w:lang w:val="en-US" w:eastAsia="zh-CN"/>
                <w14:textFill>
                  <w14:solidFill>
                    <w14:schemeClr w14:val="tx1"/>
                  </w14:solidFill>
                </w14:textFill>
              </w:rPr>
              <w:t>江西</w:t>
            </w:r>
            <w:r>
              <w:rPr>
                <w:rFonts w:hint="eastAsia" w:ascii="宋体" w:hAnsi="宋体" w:eastAsia="仿宋_GB2312"/>
                <w:color w:val="000000" w:themeColor="text1"/>
                <w:sz w:val="18"/>
                <w:szCs w:val="18"/>
                <w14:textFill>
                  <w14:solidFill>
                    <w14:schemeClr w14:val="tx1"/>
                  </w14:solidFill>
                </w14:textFill>
              </w:rPr>
              <w:t>省法律援助条例》</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■精准推送</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法律援助申请人、受指派的律师事务所或其他组织等</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5</w:t>
            </w:r>
          </w:p>
        </w:tc>
        <w:tc>
          <w:tcPr>
            <w:tcW w:w="900" w:type="dxa"/>
            <w:vMerge w:val="restart"/>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法律援助办案人员办案补贴的审核发放</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案件补贴审核发放表</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《法律援助条例》、《</w:t>
            </w:r>
            <w:r>
              <w:rPr>
                <w:rFonts w:hint="eastAsia" w:ascii="宋体" w:hAnsi="宋体" w:eastAsia="仿宋_GB2312"/>
                <w:color w:val="000000" w:themeColor="text1"/>
                <w:sz w:val="18"/>
                <w:szCs w:val="18"/>
                <w:lang w:val="en-US" w:eastAsia="zh-CN"/>
                <w14:textFill>
                  <w14:solidFill>
                    <w14:schemeClr w14:val="tx1"/>
                  </w14:solidFill>
                </w14:textFill>
              </w:rPr>
              <w:t>江西</w:t>
            </w:r>
            <w:r>
              <w:rPr>
                <w:rFonts w:hint="eastAsia" w:ascii="宋体" w:hAnsi="宋体" w:eastAsia="仿宋_GB2312"/>
                <w:color w:val="000000" w:themeColor="text1"/>
                <w:sz w:val="18"/>
                <w:szCs w:val="18"/>
                <w14:textFill>
                  <w14:solidFill>
                    <w14:schemeClr w14:val="tx1"/>
                  </w14:solidFill>
                </w14:textFill>
              </w:rPr>
              <w:t>省法律援助条例》</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自收到公开申请之日起20个工作日内公开</w:t>
            </w:r>
          </w:p>
        </w:tc>
        <w:tc>
          <w:tcPr>
            <w:tcW w:w="90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 xml:space="preserve">■精准推送 </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申请人</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6</w:t>
            </w:r>
          </w:p>
        </w:tc>
        <w:tc>
          <w:tcPr>
            <w:tcW w:w="900" w:type="dxa"/>
            <w:vMerge w:val="continue"/>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对法律援助机构不予援助决定异议的审查</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处理决定书</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《法律援助条例》、《</w:t>
            </w:r>
            <w:r>
              <w:rPr>
                <w:rFonts w:hint="eastAsia" w:ascii="宋体" w:hAnsi="宋体" w:eastAsia="仿宋_GB2312"/>
                <w:color w:val="000000" w:themeColor="text1"/>
                <w:sz w:val="18"/>
                <w:szCs w:val="18"/>
                <w:lang w:val="en-US" w:eastAsia="zh-CN"/>
                <w14:textFill>
                  <w14:solidFill>
                    <w14:schemeClr w14:val="tx1"/>
                  </w14:solidFill>
                </w14:textFill>
              </w:rPr>
              <w:t>江西</w:t>
            </w:r>
            <w:r>
              <w:rPr>
                <w:rFonts w:hint="eastAsia" w:ascii="宋体" w:hAnsi="宋体" w:eastAsia="仿宋_GB2312"/>
                <w:color w:val="000000" w:themeColor="text1"/>
                <w:sz w:val="18"/>
                <w:szCs w:val="18"/>
                <w14:textFill>
                  <w14:solidFill>
                    <w14:schemeClr w14:val="tx1"/>
                  </w14:solidFill>
                </w14:textFill>
              </w:rPr>
              <w:t>省法律援助条例》</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自收到公开申请之日起20个工作日内公开</w:t>
            </w:r>
          </w:p>
        </w:tc>
        <w:tc>
          <w:tcPr>
            <w:tcW w:w="90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■精准推送</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申请人</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7</w:t>
            </w:r>
          </w:p>
        </w:tc>
        <w:tc>
          <w:tcPr>
            <w:tcW w:w="900" w:type="dxa"/>
            <w:vMerge w:val="continue"/>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对在法律援助工作中作出突出贡献的组织和个人进行表彰奖励</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评选表彰通知；先进集体和个人申报表（空白表）；拟表彰的先进集体先进个人名单；表彰决定</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《法律援助条例》、《</w:t>
            </w:r>
            <w:r>
              <w:rPr>
                <w:rFonts w:hint="eastAsia" w:ascii="宋体" w:hAnsi="宋体" w:eastAsia="仿宋_GB2312"/>
                <w:color w:val="000000" w:themeColor="text1"/>
                <w:sz w:val="18"/>
                <w:szCs w:val="18"/>
                <w:lang w:val="en-US" w:eastAsia="zh-CN"/>
                <w14:textFill>
                  <w14:solidFill>
                    <w14:schemeClr w14:val="tx1"/>
                  </w14:solidFill>
                </w14:textFill>
              </w:rPr>
              <w:t>江西</w:t>
            </w:r>
            <w:r>
              <w:rPr>
                <w:rFonts w:hint="eastAsia" w:ascii="宋体" w:hAnsi="宋体" w:eastAsia="仿宋_GB2312"/>
                <w:color w:val="000000" w:themeColor="text1"/>
                <w:sz w:val="18"/>
                <w:szCs w:val="18"/>
                <w14:textFill>
                  <w14:solidFill>
                    <w14:schemeClr w14:val="tx1"/>
                  </w14:solidFill>
                </w14:textFill>
              </w:rPr>
              <w:t>省法律援助条例》</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■两微一端</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default"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8</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行政处罚决定或行政处罚决定书</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《法律援助条例》、《</w:t>
            </w:r>
            <w:r>
              <w:rPr>
                <w:rFonts w:hint="eastAsia" w:ascii="宋体" w:hAnsi="宋体" w:eastAsia="仿宋_GB2312"/>
                <w:color w:val="000000" w:themeColor="text1"/>
                <w:sz w:val="18"/>
                <w:szCs w:val="18"/>
                <w:lang w:val="en-US" w:eastAsia="zh-CN"/>
                <w14:textFill>
                  <w14:solidFill>
                    <w14:schemeClr w14:val="tx1"/>
                  </w14:solidFill>
                </w14:textFill>
              </w:rPr>
              <w:t>江西</w:t>
            </w:r>
            <w:r>
              <w:rPr>
                <w:rFonts w:hint="eastAsia" w:ascii="宋体" w:hAnsi="宋体" w:eastAsia="仿宋_GB2312"/>
                <w:color w:val="000000" w:themeColor="text1"/>
                <w:sz w:val="18"/>
                <w:szCs w:val="18"/>
                <w14:textFill>
                  <w14:solidFill>
                    <w14:schemeClr w14:val="tx1"/>
                  </w14:solidFill>
                </w14:textFill>
              </w:rPr>
              <w:t>省法律援助条例》</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r>
              <w:rPr>
                <w:rFonts w:ascii="宋体" w:hAnsi="宋体" w:eastAsia="仿宋_GB2312"/>
                <w:color w:val="000000" w:themeColor="text1"/>
                <w:sz w:val="18"/>
                <w:szCs w:val="18"/>
                <w14:textFill>
                  <w14:solidFill>
                    <w14:schemeClr w14:val="tx1"/>
                  </w14:solidFill>
                </w14:textFill>
              </w:rPr>
              <w:t xml:space="preserve">两微一端        </w:t>
            </w:r>
            <w:r>
              <w:rPr>
                <w:rFonts w:hint="eastAsia" w:ascii="宋体" w:hAnsi="宋体" w:eastAsia="仿宋_GB2312"/>
                <w:color w:val="000000" w:themeColor="text1"/>
                <w:sz w:val="18"/>
                <w:szCs w:val="18"/>
                <w14:textFill>
                  <w14:solidFill>
                    <w14:schemeClr w14:val="tx1"/>
                  </w14:solidFill>
                </w14:textFill>
              </w:rPr>
              <w:t xml:space="preserve">    </w:t>
            </w:r>
            <w:r>
              <w:rPr>
                <w:rFonts w:ascii="宋体" w:hAnsi="宋体" w:eastAsia="仿宋_GB2312"/>
                <w:color w:val="000000" w:themeColor="text1"/>
                <w:sz w:val="18"/>
                <w:szCs w:val="18"/>
                <w14:textFill>
                  <w14:solidFill>
                    <w14:schemeClr w14:val="tx1"/>
                  </w14:solidFill>
                </w14:textFill>
              </w:rPr>
              <w:t xml:space="preserve">            </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lang w:val="en-US" w:eastAsia="zh-CN"/>
                <w14:textFill>
                  <w14:solidFill>
                    <w14:schemeClr w14:val="tx1"/>
                  </w14:solidFill>
                </w14:textFill>
              </w:rPr>
              <w:t>9</w:t>
            </w:r>
          </w:p>
        </w:tc>
        <w:tc>
          <w:tcPr>
            <w:tcW w:w="90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基层</w:t>
            </w:r>
          </w:p>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服务</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基层法律服务工作者执业核准许可</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不予受理通知书</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《基层法律服务工作者管理办法》</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 xml:space="preserve">■精准推送 </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申请人</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r>
              <w:rPr>
                <w:rFonts w:hint="eastAsia" w:ascii="宋体" w:hAnsi="宋体" w:eastAsia="仿宋_GB2312"/>
                <w:color w:val="000000" w:themeColor="text1"/>
                <w:sz w:val="18"/>
                <w:szCs w:val="18"/>
                <w:lang w:val="en-US" w:eastAsia="zh-CN"/>
                <w14:textFill>
                  <w14:solidFill>
                    <w14:schemeClr w14:val="tx1"/>
                  </w14:solidFill>
                </w14:textFill>
              </w:rPr>
              <w:t>0</w:t>
            </w:r>
          </w:p>
        </w:tc>
        <w:tc>
          <w:tcPr>
            <w:tcW w:w="90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基层</w:t>
            </w:r>
          </w:p>
          <w:p>
            <w:pPr>
              <w:pageBreakBefore w:val="0"/>
              <w:kinsoku/>
              <w:wordWrap/>
              <w:overflowPunct/>
              <w:topLinePunct w:val="0"/>
              <w:autoSpaceDE/>
              <w:autoSpaceDN/>
              <w:bidi w:val="0"/>
              <w:spacing w:line="240" w:lineRule="atLeast"/>
              <w:jc w:val="left"/>
              <w:rPr>
                <w:rFonts w:hint="eastAsia"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w:t>
            </w:r>
          </w:p>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服务</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对基层法律服务所、基层法律服务工作者违法违规行为的处罚</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行政处罚决定或行政处罚决定书</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《基层法律服务所管理办法》、《基层法律服务工作者管理办法》</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r>
              <w:rPr>
                <w:rFonts w:ascii="宋体" w:hAnsi="宋体" w:eastAsia="仿宋_GB2312"/>
                <w:color w:val="000000" w:themeColor="text1"/>
                <w:sz w:val="18"/>
                <w:szCs w:val="18"/>
                <w14:textFill>
                  <w14:solidFill>
                    <w14:schemeClr w14:val="tx1"/>
                  </w14:solidFill>
                </w14:textFill>
              </w:rPr>
              <w:t>两微一端</w:t>
            </w:r>
            <w:r>
              <w:rPr>
                <w:rFonts w:hint="eastAsia" w:ascii="宋体" w:hAnsi="宋体" w:eastAsia="仿宋_GB2312"/>
                <w:color w:val="000000" w:themeColor="text1"/>
                <w:sz w:val="18"/>
                <w:szCs w:val="18"/>
                <w14:textFill>
                  <w14:solidFill>
                    <w14:schemeClr w14:val="tx1"/>
                  </w14:solidFill>
                </w14:textFill>
              </w:rPr>
              <w:t xml:space="preserve">    </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r>
              <w:rPr>
                <w:rFonts w:hint="eastAsia" w:ascii="宋体" w:hAnsi="宋体" w:eastAsia="仿宋_GB2312"/>
                <w:color w:val="000000" w:themeColor="text1"/>
                <w:sz w:val="18"/>
                <w:szCs w:val="18"/>
                <w:lang w:val="en-US" w:eastAsia="zh-CN"/>
                <w14:textFill>
                  <w14:solidFill>
                    <w14:schemeClr w14:val="tx1"/>
                  </w14:solidFill>
                </w14:textFill>
              </w:rPr>
              <w:t>1</w:t>
            </w:r>
          </w:p>
        </w:tc>
        <w:tc>
          <w:tcPr>
            <w:tcW w:w="900" w:type="dxa"/>
            <w:vMerge w:val="continue"/>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对基层法律服务所、基层法律服务工作者进行表彰奖励</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评选表彰通知；先进集体和个人申报表（空白表）；拟表彰的先进集体先进个人名单；表彰决定</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《基层法律服务所管理办法》、《基层法律服务工作者管理办法》</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r>
              <w:rPr>
                <w:rFonts w:ascii="宋体" w:hAnsi="宋体" w:eastAsia="仿宋_GB2312"/>
                <w:color w:val="000000" w:themeColor="text1"/>
                <w:sz w:val="18"/>
                <w:szCs w:val="18"/>
                <w14:textFill>
                  <w14:solidFill>
                    <w14:schemeClr w14:val="tx1"/>
                  </w14:solidFill>
                </w14:textFill>
              </w:rPr>
              <w:t>两微一端</w:t>
            </w:r>
            <w:r>
              <w:rPr>
                <w:rFonts w:hint="eastAsia" w:ascii="宋体" w:hAnsi="宋体" w:eastAsia="仿宋_GB2312"/>
                <w:color w:val="000000" w:themeColor="text1"/>
                <w:sz w:val="18"/>
                <w:szCs w:val="18"/>
                <w14:textFill>
                  <w14:solidFill>
                    <w14:schemeClr w14:val="tx1"/>
                  </w14:solidFill>
                </w14:textFill>
              </w:rPr>
              <w:t xml:space="preserve">    </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r>
              <w:rPr>
                <w:rFonts w:hint="eastAsia" w:ascii="宋体" w:hAnsi="宋体" w:eastAsia="仿宋_GB2312"/>
                <w:color w:val="000000" w:themeColor="text1"/>
                <w:sz w:val="18"/>
                <w:szCs w:val="18"/>
                <w:lang w:val="en-US" w:eastAsia="zh-CN"/>
                <w14:textFill>
                  <w14:solidFill>
                    <w14:schemeClr w14:val="tx1"/>
                  </w14:solidFill>
                </w14:textFill>
              </w:rPr>
              <w:t>2</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人民调解</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对有突出贡献的人民调解委员会和人民调解员按照国家规定给予表彰奖励</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评选表彰通知；先进集体和个人申报表（空白表）；拟表彰的先进集体先进个人名单；</w:t>
            </w:r>
          </w:p>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表彰决定</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bookmarkStart w:id="0" w:name="_GoBack"/>
            <w:bookmarkEnd w:id="0"/>
            <w:r>
              <w:rPr>
                <w:rFonts w:hint="eastAsia" w:ascii="宋体" w:hAnsi="宋体" w:eastAsia="仿宋_GB2312"/>
                <w:color w:val="000000" w:themeColor="text1"/>
                <w:sz w:val="18"/>
                <w:szCs w:val="18"/>
                <w:lang w:eastAsia="zh-CN"/>
                <w14:textFill>
                  <w14:solidFill>
                    <w14:schemeClr w14:val="tx1"/>
                  </w14:solidFill>
                </w14:textFill>
              </w:rPr>
              <w:t>《中华人民共和国人民调解法》</w:t>
            </w:r>
            <w:r>
              <w:rPr>
                <w:rFonts w:hint="eastAsia" w:ascii="宋体" w:hAnsi="宋体" w:eastAsia="仿宋_GB2312"/>
                <w:color w:val="000000" w:themeColor="text1"/>
                <w:sz w:val="18"/>
                <w:szCs w:val="18"/>
                <w14:textFill>
                  <w14:solidFill>
                    <w14:schemeClr w14:val="tx1"/>
                  </w14:solidFill>
                </w14:textFill>
              </w:rPr>
              <w:t>、《</w:t>
            </w:r>
            <w:r>
              <w:rPr>
                <w:rFonts w:hint="eastAsia" w:ascii="宋体" w:hAnsi="宋体" w:eastAsia="仿宋_GB2312"/>
                <w:color w:val="000000" w:themeColor="text1"/>
                <w:sz w:val="18"/>
                <w:szCs w:val="18"/>
                <w:lang w:val="en-US" w:eastAsia="zh-CN"/>
                <w14:textFill>
                  <w14:solidFill>
                    <w14:schemeClr w14:val="tx1"/>
                  </w14:solidFill>
                </w14:textFill>
              </w:rPr>
              <w:t>江西</w:t>
            </w:r>
            <w:r>
              <w:rPr>
                <w:rFonts w:hint="eastAsia" w:ascii="宋体" w:hAnsi="宋体" w:eastAsia="仿宋_GB2312"/>
                <w:color w:val="000000" w:themeColor="text1"/>
                <w:sz w:val="18"/>
                <w:szCs w:val="18"/>
                <w14:textFill>
                  <w14:solidFill>
                    <w14:schemeClr w14:val="tx1"/>
                  </w14:solidFill>
                </w14:textFill>
              </w:rPr>
              <w:t>省人民调解条例》</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r>
              <w:rPr>
                <w:rFonts w:ascii="宋体" w:hAnsi="宋体" w:eastAsia="仿宋_GB2312"/>
                <w:color w:val="000000" w:themeColor="text1"/>
                <w:sz w:val="18"/>
                <w:szCs w:val="18"/>
                <w14:textFill>
                  <w14:solidFill>
                    <w14:schemeClr w14:val="tx1"/>
                  </w14:solidFill>
                </w14:textFill>
              </w:rPr>
              <w:t>两微一端</w:t>
            </w:r>
            <w:r>
              <w:rPr>
                <w:rFonts w:hint="eastAsia" w:ascii="宋体" w:hAnsi="宋体" w:eastAsia="仿宋_GB2312"/>
                <w:color w:val="000000" w:themeColor="text1"/>
                <w:sz w:val="18"/>
                <w:szCs w:val="18"/>
                <w14:textFill>
                  <w14:solidFill>
                    <w14:schemeClr w14:val="tx1"/>
                  </w14:solidFill>
                </w14:textFill>
              </w:rPr>
              <w:t xml:space="preserve">    </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r>
              <w:rPr>
                <w:rFonts w:hint="eastAsia" w:ascii="宋体" w:hAnsi="宋体" w:eastAsia="仿宋_GB2312"/>
                <w:color w:val="000000" w:themeColor="text1"/>
                <w:sz w:val="18"/>
                <w:szCs w:val="18"/>
                <w:lang w:val="en-US" w:eastAsia="zh-CN"/>
                <w14:textFill>
                  <w14:solidFill>
                    <w14:schemeClr w14:val="tx1"/>
                  </w14:solidFill>
                </w14:textFill>
              </w:rPr>
              <w:t>3</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法律查询服务</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法律服务机构、人员信息查询服务</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辖区内的律师、公证、基层法律服务、司法鉴定、仲裁、人民调解等法律服务机构和人员有关基本信息、从业信息和信用信息等</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r>
              <w:rPr>
                <w:rFonts w:ascii="宋体" w:hAnsi="宋体" w:eastAsia="仿宋_GB2312"/>
                <w:color w:val="000000" w:themeColor="text1"/>
                <w:sz w:val="18"/>
                <w:szCs w:val="18"/>
                <w14:textFill>
                  <w14:solidFill>
                    <w14:schemeClr w14:val="tx1"/>
                  </w14:solidFill>
                </w14:textFill>
              </w:rPr>
              <w:t>两微一端</w:t>
            </w:r>
            <w:r>
              <w:rPr>
                <w:rFonts w:hint="eastAsia" w:ascii="宋体" w:hAnsi="宋体" w:eastAsia="仿宋_GB2312"/>
                <w:color w:val="000000" w:themeColor="text1"/>
                <w:sz w:val="18"/>
                <w:szCs w:val="18"/>
                <w14:textFill>
                  <w14:solidFill>
                    <w14:schemeClr w14:val="tx1"/>
                  </w14:solidFill>
                </w14:textFill>
              </w:rPr>
              <w:t xml:space="preserve">    </w:t>
            </w: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r>
              <w:rPr>
                <w:rFonts w:hint="eastAsia" w:ascii="宋体" w:hAnsi="宋体" w:eastAsia="仿宋_GB2312"/>
                <w:color w:val="000000" w:themeColor="text1"/>
                <w:sz w:val="18"/>
                <w:szCs w:val="18"/>
                <w:lang w:val="en-US" w:eastAsia="zh-CN"/>
                <w14:textFill>
                  <w14:solidFill>
                    <w14:schemeClr w14:val="tx1"/>
                  </w14:solidFill>
                </w14:textFill>
              </w:rPr>
              <w:t>4</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法律咨询服务</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公共法律服务实体平台、热线平台、网络平台咨询服务</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公共法律服务实体、热线、网络平台法律咨询服务指南</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■其他法律服务网</w:t>
            </w:r>
          </w:p>
          <w:p>
            <w:pPr>
              <w:pageBreakBefore w:val="0"/>
              <w:widowControl/>
              <w:kinsoku/>
              <w:wordWrap/>
              <w:overflowPunct/>
              <w:topLinePunct w:val="0"/>
              <w:autoSpaceDE/>
              <w:autoSpaceDN/>
              <w:bidi w:val="0"/>
              <w:spacing w:line="240" w:lineRule="atLeast"/>
              <w:jc w:val="left"/>
              <w:textAlignment w:val="center"/>
              <w:rPr>
                <w:rFonts w:ascii="宋体" w:hAnsi="宋体" w:eastAsia="仿宋_GB2312" w:cs="Times New Roman"/>
                <w:color w:val="000000" w:themeColor="text1"/>
                <w:kern w:val="2"/>
                <w:sz w:val="18"/>
                <w:szCs w:val="18"/>
                <w:lang w:val="en-US" w:eastAsia="zh-CN" w:bidi="ar-SA"/>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textAlignment w:val="center"/>
              <w:rPr>
                <w:rFonts w:hint="eastAsia" w:ascii="宋体" w:hAnsi="宋体" w:eastAsia="仿宋_GB2312"/>
                <w:color w:val="000000" w:themeColor="text1"/>
                <w:sz w:val="18"/>
                <w:szCs w:val="18"/>
                <w:lang w:val="en-US" w:eastAsia="zh-CN"/>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1</w:t>
            </w:r>
            <w:r>
              <w:rPr>
                <w:rFonts w:hint="eastAsia" w:ascii="宋体" w:hAnsi="宋体" w:eastAsia="仿宋_GB2312"/>
                <w:color w:val="000000" w:themeColor="text1"/>
                <w:sz w:val="18"/>
                <w:szCs w:val="18"/>
                <w:lang w:val="en-US" w:eastAsia="zh-CN"/>
                <w14:textFill>
                  <w14:solidFill>
                    <w14:schemeClr w14:val="tx1"/>
                  </w14:solidFill>
                </w14:textFill>
              </w:rPr>
              <w:t>5</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公共法律服务平台</w:t>
            </w:r>
          </w:p>
        </w:tc>
        <w:tc>
          <w:tcPr>
            <w:tcW w:w="14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公共法律服务实体、热线、网络平台信息</w:t>
            </w:r>
          </w:p>
        </w:tc>
        <w:tc>
          <w:tcPr>
            <w:tcW w:w="1620" w:type="dxa"/>
            <w:vAlign w:val="center"/>
          </w:tcPr>
          <w:p>
            <w:pPr>
              <w:pageBreakBefore w:val="0"/>
              <w:tabs>
                <w:tab w:val="center" w:pos="4153"/>
                <w:tab w:val="right" w:pos="8306"/>
              </w:tabs>
              <w:kinsoku/>
              <w:wordWrap/>
              <w:overflowPunct/>
              <w:topLinePunct w:val="0"/>
              <w:autoSpaceDE/>
              <w:autoSpaceDN/>
              <w:bidi w:val="0"/>
              <w:snapToGrid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《政府信息公开条例》</w:t>
            </w:r>
          </w:p>
        </w:tc>
        <w:tc>
          <w:tcPr>
            <w:tcW w:w="18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自制作或获取该信息之日起20个工作日内公开</w:t>
            </w:r>
          </w:p>
        </w:tc>
        <w:tc>
          <w:tcPr>
            <w:tcW w:w="900" w:type="dxa"/>
            <w:vAlign w:val="center"/>
          </w:tcPr>
          <w:p>
            <w:pPr>
              <w:pageBreakBefore w:val="0"/>
              <w:kinsoku/>
              <w:wordWrap/>
              <w:overflowPunct/>
              <w:topLinePunct w:val="0"/>
              <w:autoSpaceDE/>
              <w:autoSpaceDN/>
              <w:bidi w:val="0"/>
              <w:spacing w:line="240" w:lineRule="atLeast"/>
              <w:jc w:val="left"/>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lang w:eastAsia="zh-CN"/>
                <w14:textFill>
                  <w14:solidFill>
                    <w14:schemeClr w14:val="tx1"/>
                  </w14:solidFill>
                </w14:textFill>
              </w:rPr>
              <w:t>区司法分局</w:t>
            </w:r>
          </w:p>
        </w:tc>
        <w:tc>
          <w:tcPr>
            <w:tcW w:w="2340" w:type="dxa"/>
            <w:vAlign w:val="center"/>
          </w:tcPr>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r>
              <w:rPr>
                <w:rFonts w:ascii="宋体" w:hAnsi="宋体" w:eastAsia="仿宋_GB2312"/>
                <w:color w:val="000000" w:themeColor="text1"/>
                <w:sz w:val="18"/>
                <w:szCs w:val="18"/>
                <w14:textFill>
                  <w14:solidFill>
                    <w14:schemeClr w14:val="tx1"/>
                  </w14:solidFill>
                </w14:textFill>
              </w:rPr>
              <w:t>■其他法律服务网</w:t>
            </w:r>
          </w:p>
          <w:p>
            <w:pPr>
              <w:pageBreakBefore w:val="0"/>
              <w:widowControl/>
              <w:kinsoku/>
              <w:wordWrap/>
              <w:overflowPunct/>
              <w:topLinePunct w:val="0"/>
              <w:autoSpaceDE/>
              <w:autoSpaceDN/>
              <w:bidi w:val="0"/>
              <w:spacing w:line="240" w:lineRule="atLeast"/>
              <w:jc w:val="left"/>
              <w:textAlignment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90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p>
        </w:tc>
        <w:tc>
          <w:tcPr>
            <w:tcW w:w="54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c>
          <w:tcPr>
            <w:tcW w:w="720" w:type="dxa"/>
            <w:vAlign w:val="center"/>
          </w:tcPr>
          <w:p>
            <w:pPr>
              <w:pageBreakBefore w:val="0"/>
              <w:kinsoku/>
              <w:wordWrap/>
              <w:overflowPunct/>
              <w:topLinePunct w:val="0"/>
              <w:autoSpaceDE/>
              <w:autoSpaceDN/>
              <w:bidi w:val="0"/>
              <w:spacing w:line="240" w:lineRule="atLeast"/>
              <w:jc w:val="center"/>
              <w:rPr>
                <w:rFonts w:ascii="宋体" w:hAnsi="宋体" w:eastAsia="仿宋_GB2312"/>
                <w:color w:val="000000" w:themeColor="text1"/>
                <w:sz w:val="18"/>
                <w:szCs w:val="18"/>
                <w14:textFill>
                  <w14:solidFill>
                    <w14:schemeClr w14:val="tx1"/>
                  </w14:solidFill>
                </w14:textFill>
              </w:rPr>
            </w:pPr>
            <w:r>
              <w:rPr>
                <w:rFonts w:hint="eastAsia" w:ascii="宋体" w:hAnsi="宋体" w:eastAsia="仿宋_GB2312"/>
                <w:color w:val="000000" w:themeColor="text1"/>
                <w:sz w:val="18"/>
                <w:szCs w:val="18"/>
                <w14:textFill>
                  <w14:solidFill>
                    <w14:schemeClr w14:val="tx1"/>
                  </w14:solidFill>
                </w14:textFill>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B29B1"/>
    <w:rsid w:val="627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2020-12-17T03:27:00Z</dcterms:created>
  <dc:creator>郑敏锋</dc:creator>
  <cp:lastModifiedBy>Lenovo</cp:lastModifiedBy>
  <dcterms:modified xsi:type="dcterms:W3CDTF">2024-07-03T02:12:58Z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