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方正小标宋_GBK"/>
          <w:b w:val="0"/>
          <w:bCs w:val="0"/>
          <w:color w:val="000000" w:themeColor="text1"/>
          <w:sz w:val="30"/>
          <w:szCs w:val="18"/>
          <w14:textFill>
            <w14:solidFill>
              <w14:schemeClr w14:val="tx1"/>
            </w14:solidFill>
          </w14:textFill>
        </w:rPr>
      </w:pPr>
      <w:bookmarkStart w:id="0" w:name="_Toc24724721"/>
      <w:r>
        <w:rPr>
          <w:rFonts w:hint="eastAsia" w:ascii="宋体" w:hAnsi="宋体" w:eastAsia="方正小标宋_GBK"/>
          <w:b w:val="0"/>
          <w:bCs w:val="0"/>
          <w:color w:val="000000" w:themeColor="text1"/>
          <w:sz w:val="30"/>
          <w14:textFill>
            <w14:solidFill>
              <w14:schemeClr w14:val="tx1"/>
            </w14:solidFill>
          </w14:textFill>
        </w:rPr>
        <w:t>城市综合执法领域基层政务公开标准目录</w:t>
      </w:r>
      <w:bookmarkEnd w:id="0"/>
      <w:bookmarkStart w:id="1" w:name="_GoBack"/>
      <w:bookmarkEnd w:id="1"/>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40" w:type="dxa"/>
            <w:vMerge w:val="restart"/>
            <w:noWrap w:val="0"/>
            <w:vAlign w:val="center"/>
          </w:tcPr>
          <w:p>
            <w:pPr>
              <w:widowControl/>
              <w:jc w:val="center"/>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序号</w:t>
            </w:r>
          </w:p>
        </w:tc>
        <w:tc>
          <w:tcPr>
            <w:tcW w:w="2520" w:type="dxa"/>
            <w:gridSpan w:val="2"/>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公开事项</w:t>
            </w:r>
          </w:p>
        </w:tc>
        <w:tc>
          <w:tcPr>
            <w:tcW w:w="1980" w:type="dxa"/>
            <w:vMerge w:val="restart"/>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公开内容（要素）</w:t>
            </w:r>
          </w:p>
        </w:tc>
        <w:tc>
          <w:tcPr>
            <w:tcW w:w="1620" w:type="dxa"/>
            <w:vMerge w:val="restart"/>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公开依据</w:t>
            </w:r>
          </w:p>
        </w:tc>
        <w:tc>
          <w:tcPr>
            <w:tcW w:w="2160" w:type="dxa"/>
            <w:vMerge w:val="restart"/>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公开时限</w:t>
            </w:r>
          </w:p>
        </w:tc>
        <w:tc>
          <w:tcPr>
            <w:tcW w:w="1440" w:type="dxa"/>
            <w:vMerge w:val="restart"/>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公开主体</w:t>
            </w:r>
          </w:p>
        </w:tc>
        <w:tc>
          <w:tcPr>
            <w:tcW w:w="1440" w:type="dxa"/>
            <w:vMerge w:val="restart"/>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公开渠道和载体</w:t>
            </w:r>
          </w:p>
        </w:tc>
        <w:tc>
          <w:tcPr>
            <w:tcW w:w="1260" w:type="dxa"/>
            <w:gridSpan w:val="2"/>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公开对象</w:t>
            </w:r>
          </w:p>
        </w:tc>
        <w:tc>
          <w:tcPr>
            <w:tcW w:w="1260" w:type="dxa"/>
            <w:gridSpan w:val="2"/>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公开方式</w:t>
            </w:r>
          </w:p>
        </w:tc>
        <w:tc>
          <w:tcPr>
            <w:tcW w:w="1260" w:type="dxa"/>
            <w:gridSpan w:val="2"/>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40" w:type="dxa"/>
            <w:vMerge w:val="continue"/>
            <w:noWrap w:val="0"/>
            <w:vAlign w:val="center"/>
          </w:tcPr>
          <w:p>
            <w:pPr>
              <w:widowControl/>
              <w:jc w:val="center"/>
              <w:rPr>
                <w:rFonts w:ascii="宋体" w:hAnsi="宋体"/>
                <w:color w:val="000000" w:themeColor="text1"/>
                <w:kern w:val="0"/>
                <w:sz w:val="22"/>
                <w14:textFill>
                  <w14:solidFill>
                    <w14:schemeClr w14:val="tx1"/>
                  </w14:solidFill>
                </w14:textFill>
              </w:rPr>
            </w:pPr>
          </w:p>
        </w:tc>
        <w:tc>
          <w:tcPr>
            <w:tcW w:w="720"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一级事项</w:t>
            </w:r>
          </w:p>
        </w:tc>
        <w:tc>
          <w:tcPr>
            <w:tcW w:w="1800"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二级事项</w:t>
            </w:r>
          </w:p>
        </w:tc>
        <w:tc>
          <w:tcPr>
            <w:tcW w:w="1980" w:type="dxa"/>
            <w:vMerge w:val="continue"/>
            <w:noWrap w:val="0"/>
            <w:vAlign w:val="center"/>
          </w:tcPr>
          <w:p>
            <w:pPr>
              <w:widowControl/>
              <w:jc w:val="left"/>
              <w:rPr>
                <w:rFonts w:ascii="宋体" w:hAnsi="宋体" w:eastAsia="黑体" w:cs="宋体"/>
                <w:color w:val="000000" w:themeColor="text1"/>
                <w:kern w:val="0"/>
                <w:sz w:val="22"/>
                <w14:textFill>
                  <w14:solidFill>
                    <w14:schemeClr w14:val="tx1"/>
                  </w14:solidFill>
                </w14:textFill>
              </w:rPr>
            </w:pPr>
          </w:p>
        </w:tc>
        <w:tc>
          <w:tcPr>
            <w:tcW w:w="1620" w:type="dxa"/>
            <w:vMerge w:val="continue"/>
            <w:noWrap w:val="0"/>
            <w:vAlign w:val="center"/>
          </w:tcPr>
          <w:p>
            <w:pPr>
              <w:widowControl/>
              <w:jc w:val="left"/>
              <w:rPr>
                <w:rFonts w:ascii="宋体" w:hAnsi="宋体" w:eastAsia="黑体" w:cs="宋体"/>
                <w:color w:val="000000" w:themeColor="text1"/>
                <w:kern w:val="0"/>
                <w:sz w:val="22"/>
                <w14:textFill>
                  <w14:solidFill>
                    <w14:schemeClr w14:val="tx1"/>
                  </w14:solidFill>
                </w14:textFill>
              </w:rPr>
            </w:pPr>
          </w:p>
        </w:tc>
        <w:tc>
          <w:tcPr>
            <w:tcW w:w="2160" w:type="dxa"/>
            <w:vMerge w:val="continue"/>
            <w:noWrap w:val="0"/>
            <w:vAlign w:val="center"/>
          </w:tcPr>
          <w:p>
            <w:pPr>
              <w:widowControl/>
              <w:jc w:val="left"/>
              <w:rPr>
                <w:rFonts w:ascii="宋体" w:hAnsi="宋体" w:eastAsia="黑体" w:cs="宋体"/>
                <w:color w:val="000000" w:themeColor="text1"/>
                <w:kern w:val="0"/>
                <w:sz w:val="22"/>
                <w14:textFill>
                  <w14:solidFill>
                    <w14:schemeClr w14:val="tx1"/>
                  </w14:solidFill>
                </w14:textFill>
              </w:rPr>
            </w:pPr>
          </w:p>
        </w:tc>
        <w:tc>
          <w:tcPr>
            <w:tcW w:w="1440" w:type="dxa"/>
            <w:vMerge w:val="continue"/>
            <w:noWrap w:val="0"/>
            <w:vAlign w:val="center"/>
          </w:tcPr>
          <w:p>
            <w:pPr>
              <w:widowControl/>
              <w:jc w:val="left"/>
              <w:rPr>
                <w:rFonts w:ascii="宋体" w:hAnsi="宋体" w:eastAsia="黑体" w:cs="宋体"/>
                <w:color w:val="000000" w:themeColor="text1"/>
                <w:kern w:val="0"/>
                <w:sz w:val="22"/>
                <w14:textFill>
                  <w14:solidFill>
                    <w14:schemeClr w14:val="tx1"/>
                  </w14:solidFill>
                </w14:textFill>
              </w:rPr>
            </w:pPr>
          </w:p>
        </w:tc>
        <w:tc>
          <w:tcPr>
            <w:tcW w:w="1440" w:type="dxa"/>
            <w:vMerge w:val="continue"/>
            <w:noWrap w:val="0"/>
            <w:vAlign w:val="center"/>
          </w:tcPr>
          <w:p>
            <w:pPr>
              <w:widowControl/>
              <w:jc w:val="left"/>
              <w:rPr>
                <w:rFonts w:ascii="宋体" w:hAnsi="宋体" w:eastAsia="黑体" w:cs="宋体"/>
                <w:color w:val="000000" w:themeColor="text1"/>
                <w:kern w:val="0"/>
                <w:sz w:val="22"/>
                <w14:textFill>
                  <w14:solidFill>
                    <w14:schemeClr w14:val="tx1"/>
                  </w14:solidFill>
                </w14:textFill>
              </w:rPr>
            </w:pPr>
          </w:p>
        </w:tc>
        <w:tc>
          <w:tcPr>
            <w:tcW w:w="540"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全社会</w:t>
            </w:r>
          </w:p>
        </w:tc>
        <w:tc>
          <w:tcPr>
            <w:tcW w:w="720"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特定群众</w:t>
            </w:r>
          </w:p>
        </w:tc>
        <w:tc>
          <w:tcPr>
            <w:tcW w:w="596"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主动</w:t>
            </w:r>
          </w:p>
        </w:tc>
        <w:tc>
          <w:tcPr>
            <w:tcW w:w="664"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依申请公开</w:t>
            </w:r>
          </w:p>
        </w:tc>
        <w:tc>
          <w:tcPr>
            <w:tcW w:w="540"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县级</w:t>
            </w:r>
          </w:p>
        </w:tc>
        <w:tc>
          <w:tcPr>
            <w:tcW w:w="720" w:type="dxa"/>
            <w:noWrap w:val="0"/>
            <w:vAlign w:val="center"/>
          </w:tcPr>
          <w:p>
            <w:pPr>
              <w:widowControl/>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jc w:val="center"/>
        </w:trPr>
        <w:tc>
          <w:tcPr>
            <w:tcW w:w="54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不符合预售条件预售商品房</w:t>
            </w:r>
          </w:p>
        </w:tc>
        <w:tc>
          <w:tcPr>
            <w:tcW w:w="1980" w:type="dxa"/>
            <w:noWrap w:val="0"/>
            <w:vAlign w:val="center"/>
          </w:tcPr>
          <w:p>
            <w:pPr>
              <w:numPr>
                <w:ilvl w:val="0"/>
                <w:numId w:val="1"/>
              </w:num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p>
            <w:pPr>
              <w:widowControl w:val="0"/>
              <w:numPr>
                <w:ilvl w:val="0"/>
                <w:numId w:val="0"/>
              </w:numPr>
              <w:jc w:val="left"/>
              <w:rPr>
                <w:rFonts w:hint="eastAsia" w:ascii="宋体" w:hAnsi="宋体" w:eastAsia="仿宋_GB2312"/>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xml:space="preserve">《中华人民共和国城市房地产管理法》（主席令第 72号） </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p>
            <w:pPr>
              <w:jc w:val="both"/>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3" w:hRule="atLeast"/>
          <w:jc w:val="center"/>
        </w:trPr>
        <w:tc>
          <w:tcPr>
            <w:tcW w:w="54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2</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未取得资质等级证书或者超越资质等级从事房地产开发经营</w:t>
            </w:r>
          </w:p>
        </w:tc>
        <w:tc>
          <w:tcPr>
            <w:tcW w:w="1980" w:type="dxa"/>
            <w:vMerge w:val="restart"/>
            <w:noWrap w:val="0"/>
            <w:vAlign w:val="center"/>
          </w:tcPr>
          <w:p>
            <w:pPr>
              <w:numPr>
                <w:ilvl w:val="0"/>
                <w:numId w:val="0"/>
              </w:num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w:t>
            </w:r>
            <w:r>
              <w:rPr>
                <w:rFonts w:hint="eastAsia" w:ascii="宋体" w:hAnsi="宋体" w:eastAsia="仿宋_GB2312"/>
                <w:color w:val="000000" w:themeColor="text1"/>
                <w:sz w:val="18"/>
                <w:szCs w:val="18"/>
                <w14:textFill>
                  <w14:solidFill>
                    <w14:schemeClr w14:val="tx1"/>
                  </w14:solidFill>
                </w14:textFill>
              </w:rPr>
              <w:t>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《城市房地产开发经营管理条例》（国令第</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248号）</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《江西省城市房地产开发管理条例》</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6" w:hRule="atLeast"/>
          <w:jc w:val="center"/>
        </w:trPr>
        <w:tc>
          <w:tcPr>
            <w:tcW w:w="54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3</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擅自预售商品房</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《城市房地产开发经营管理条例》、《商品房销售管理办法》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jc w:val="center"/>
        </w:trPr>
        <w:tc>
          <w:tcPr>
            <w:tcW w:w="54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4</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房产测绘单位在房产面积测算中不执行国家标准、规范和规定</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《房产测绘管理办法》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1" w:hRule="atLeast"/>
          <w:jc w:val="center"/>
        </w:trPr>
        <w:tc>
          <w:tcPr>
            <w:tcW w:w="54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5</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房产测绘单位在房产面积测算中弄虚作假、欺骗房屋权利人</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《房产测绘管理办法》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4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6</w:t>
            </w:r>
          </w:p>
        </w:tc>
        <w:tc>
          <w:tcPr>
            <w:tcW w:w="7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房产测绘单位房产面积测算失误，造成重大损失</w:t>
            </w:r>
          </w:p>
        </w:tc>
        <w:tc>
          <w:tcPr>
            <w:tcW w:w="1980" w:type="dxa"/>
            <w:vMerge w:val="restart"/>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《房产测绘管理办法》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8" w:hRule="atLeast"/>
          <w:jc w:val="center"/>
        </w:trPr>
        <w:tc>
          <w:tcPr>
            <w:tcW w:w="54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7</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房地产经纪人员以个人名义承接房地产经纪业务和收取费用</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9" w:hRule="atLeast"/>
          <w:jc w:val="center"/>
        </w:trPr>
        <w:tc>
          <w:tcPr>
            <w:tcW w:w="540" w:type="dxa"/>
            <w:noWrap w:val="0"/>
            <w:vAlign w:val="center"/>
          </w:tcPr>
          <w:p>
            <w:pPr>
              <w:jc w:val="center"/>
              <w:rPr>
                <w:rFonts w:hint="eastAsia" w:ascii="宋体" w:hAnsi="宋体" w:eastAsia="仿宋_GB2312" w:cs="宋体"/>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8</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房地产经纪人员以个人名义承接房地产经纪业务和收取费用</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540" w:type="dxa"/>
            <w:noWrap w:val="0"/>
            <w:vAlign w:val="center"/>
          </w:tcPr>
          <w:p>
            <w:pPr>
              <w:jc w:val="center"/>
              <w:rPr>
                <w:rFonts w:hint="eastAsia" w:ascii="宋体" w:hAnsi="宋体" w:eastAsia="仿宋_GB2312" w:cs="宋体"/>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9</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房地产经纪机构提供代办贷款、代办房地产登记等其他服务，未向委托人说明服务内容、收费标准等情况，并未经委托人同意</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10</w:t>
            </w:r>
          </w:p>
        </w:tc>
        <w:tc>
          <w:tcPr>
            <w:tcW w:w="720" w:type="dxa"/>
            <w:vMerge w:val="restart"/>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房地产经纪服务合同未由从事该业务的一名房地产经纪人或者两名房地产经纪人协理签名</w:t>
            </w:r>
          </w:p>
        </w:tc>
        <w:tc>
          <w:tcPr>
            <w:tcW w:w="1980" w:type="dxa"/>
            <w:vMerge w:val="restart"/>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11</w:t>
            </w:r>
          </w:p>
        </w:tc>
        <w:tc>
          <w:tcPr>
            <w:tcW w:w="72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房地产经纪机构签订房地产经纪服务合同前，不向交易当事人说明和书面告知规定事项</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12</w:t>
            </w:r>
          </w:p>
        </w:tc>
        <w:tc>
          <w:tcPr>
            <w:tcW w:w="72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房地产经纪机构未按照规定如实记录业务情况或者保存房地产经纪服务合同</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13</w:t>
            </w:r>
          </w:p>
        </w:tc>
        <w:tc>
          <w:tcPr>
            <w:tcW w:w="72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房地产经纪机构擅自对外发布房源信息</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14</w:t>
            </w:r>
          </w:p>
        </w:tc>
        <w:tc>
          <w:tcPr>
            <w:tcW w:w="720" w:type="dxa"/>
            <w:vMerge w:val="restart"/>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房地产经纪机构擅自划转客户交易结算资金</w:t>
            </w:r>
          </w:p>
        </w:tc>
        <w:tc>
          <w:tcPr>
            <w:tcW w:w="1980" w:type="dxa"/>
            <w:vMerge w:val="restart"/>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15</w:t>
            </w:r>
          </w:p>
        </w:tc>
        <w:tc>
          <w:tcPr>
            <w:tcW w:w="72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房地产经纪机构和房地产经纪人员以隐瞒、欺诈、胁迫、贿赂等不正当手段招揽业务，诱骗消费者交易或者强制交易</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16</w:t>
            </w:r>
          </w:p>
        </w:tc>
        <w:tc>
          <w:tcPr>
            <w:tcW w:w="72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房地产经纪机构和房地产经纪人员泄露或者不当使用委托人的个人信息或者商业秘密，谋取不正当利益</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540" w:type="dxa"/>
            <w:noWrap w:val="0"/>
            <w:vAlign w:val="center"/>
          </w:tcPr>
          <w:p>
            <w:pPr>
              <w:jc w:val="center"/>
              <w:rPr>
                <w:rFonts w:hint="default"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17</w:t>
            </w:r>
          </w:p>
        </w:tc>
        <w:tc>
          <w:tcPr>
            <w:tcW w:w="72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80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为交易当事人规避房屋交易税费等非法目的，房地产经纪机构和房地产经纪人员就同一房屋签订不同交易价款的合同提供便利</w:t>
            </w:r>
          </w:p>
        </w:tc>
        <w:tc>
          <w:tcPr>
            <w:tcW w:w="1980" w:type="dxa"/>
            <w:vMerge w:val="continue"/>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p>
        </w:tc>
        <w:tc>
          <w:tcPr>
            <w:tcW w:w="16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《房地产经纪管理办法》</w:t>
            </w:r>
          </w:p>
        </w:tc>
        <w:tc>
          <w:tcPr>
            <w:tcW w:w="216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sz w:val="18"/>
                <w:szCs w:val="18"/>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sz w:val="18"/>
                <w:szCs w:val="18"/>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18</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公共租赁住房的所有权人及其委托的运营单位向不符合条件的对象出租公共租赁住房的</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19</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公共租赁住房的所有权人及其委托的运营单位未履行公共租赁住房及其配套设施维修养护义务</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3"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20</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公共租赁住房的所有权人及其委托的运营单位改变公共租赁住房的保障性住房性质</w:t>
            </w: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、用途，以及配套设施的规划用途</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1"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21</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申请人隐瞒有关情况或者提供虚假材料申请公共租赁住房</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3"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22</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申请人以欺骗等不正手段，登记为轮候对象或者承租公共租赁住房</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5"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23</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承租人转借、转租或者擅自调换所承租公共租赁住房</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5"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24</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承租人改变所承租公共租赁住房用途</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7"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25</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承租人破坏或者擅自装修所承租公共租赁住房，拒不恢复原状</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3"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26</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承租人在公共租赁住房内从事违法活动</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2"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27</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承租人无正当理由连续6个月以上闲置公共租赁住房</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公共租赁住房管理办法》（建设部令第11号）</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8"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28</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出租属于违法建筑的房屋</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29</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出租不符合安全、防灾等工程建设强制性标准的房屋</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0"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30</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出租违反规定改变房屋使用性质的房屋</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1"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31</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出租法律、法规规定禁止出租的房屋</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32</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未以原设计的房间为最小出租单位，或人均租住建筑面积低于当地人民政府规定的最低标准</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33</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出租厨房、卫生间、阳台和地下储藏室供人员居住</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34</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房屋租赁合同订立后三十日内，房屋租赁当事人未按规定办理房屋租赁登记备案</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35</w:t>
            </w:r>
          </w:p>
        </w:tc>
        <w:tc>
          <w:tcPr>
            <w:tcW w:w="7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房地产管理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房屋租赁登记备案内容发生变化、续租或者租赁终止后三十日内，当事人未按规定办理房屋租赁登记备案的变更、延续或者注销手续</w:t>
            </w:r>
          </w:p>
        </w:tc>
        <w:tc>
          <w:tcPr>
            <w:tcW w:w="198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1.机构职能、权责清单、执法人员名单；</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2.执法程序或行政强制流程图；</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3.执法依据；</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4.行政处罚自由裁量基准；</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5.咨询、监督投诉方式；</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6.处罚决定；</w:t>
            </w:r>
            <w:r>
              <w:rPr>
                <w:rFonts w:hint="eastAsia" w:ascii="宋体" w:hAnsi="宋体" w:eastAsia="仿宋_GB2312"/>
                <w:color w:val="000000" w:themeColor="text1"/>
                <w:sz w:val="18"/>
                <w:szCs w:val="18"/>
                <w14:textFill>
                  <w14:solidFill>
                    <w14:schemeClr w14:val="tx1"/>
                  </w14:solidFill>
                </w14:textFill>
              </w:rPr>
              <w:br w:type="textWrapping"/>
            </w:r>
            <w:r>
              <w:rPr>
                <w:rFonts w:hint="eastAsia" w:ascii="宋体" w:hAnsi="宋体" w:eastAsia="仿宋_GB2312"/>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《商品房屋租赁管理办法》</w:t>
            </w:r>
          </w:p>
        </w:tc>
        <w:tc>
          <w:tcPr>
            <w:tcW w:w="216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9"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36</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住宅物业的建设单位未通过招投标的方式选聘物业服务企业或者未经批准，擅自采用协议方式选聘物业服务企业</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sz w:val="18"/>
                <w:szCs w:val="18"/>
                <w:lang w:val="en-US" w:eastAsia="zh-CN"/>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4"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37</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建设单位擅自处分属于业主的物业共用部位、共用设施设备的所有权或者使用权</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3"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38</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逾期仍不移交有关资料</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39</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建设单位不移交有关承接查验资料的处罚</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40</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物业服务企业将一个物业管理区域内的全部物业管理一并委托给他人</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41</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挪用专项维修资金</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1"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42</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建设单位在物业管理区域内不按照规定配置必要的物业管理用房</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43</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未经业主大会同意，物业服务企业擅自改变物业管理用房的用途</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3"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44</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擅自改变物业管理区域内按照规划建设的公共建筑和共用设施用途</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6"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45</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擅自占用、挖掘物业管理区域内道路、场地，损害业主共同利益</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0"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46</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擅自利用物业共用部位、共用设施设备进行经营</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1"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47</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物业服务企业聘用未取得物业管理职业资格证书的人员从事物业管理活动的处罚</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48</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业主大会、业主委员会作出的决定违反法律、法规的处罚</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0"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49</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建设单位、物业服务企业未按时将物业服务合同和临时管理规约报送备案的处罚</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50</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建设单位未交存物业质量保修金的处罚</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51</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物业服务合同终止后，物业服务企业拒不退出的处罚</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9" w:hRule="atLeast"/>
          <w:jc w:val="center"/>
        </w:trPr>
        <w:tc>
          <w:tcPr>
            <w:tcW w:w="540" w:type="dxa"/>
            <w:noWrap w:val="0"/>
            <w:vAlign w:val="center"/>
          </w:tcPr>
          <w:p>
            <w:pPr>
              <w:jc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52</w:t>
            </w:r>
          </w:p>
        </w:tc>
        <w:tc>
          <w:tcPr>
            <w:tcW w:w="72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物业管理</w:t>
            </w:r>
          </w:p>
        </w:tc>
        <w:tc>
          <w:tcPr>
            <w:tcW w:w="1800" w:type="dxa"/>
            <w:noWrap w:val="0"/>
            <w:vAlign w:val="center"/>
          </w:tcPr>
          <w:p>
            <w:pPr>
              <w:jc w:val="left"/>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建设单位未将物业管理区域符合业主大会成立条件的情况书面报告物业所在地的街道办事处、乡镇人民政府，或者未按照规定提供有关资</w:t>
            </w:r>
            <w:r>
              <w:rPr>
                <w:rFonts w:hint="eastAsia" w:ascii="宋体" w:hAnsi="宋体" w:eastAsia="仿宋_GB2312"/>
                <w:color w:val="000000" w:themeColor="text1"/>
                <w:sz w:val="18"/>
                <w:szCs w:val="18"/>
                <w:lang w:eastAsia="zh-CN"/>
                <w14:textFill>
                  <w14:solidFill>
                    <w14:schemeClr w14:val="tx1"/>
                  </w14:solidFill>
                </w14:textFill>
              </w:rPr>
              <w:t>料</w:t>
            </w:r>
          </w:p>
        </w:tc>
        <w:tc>
          <w:tcPr>
            <w:tcW w:w="1980" w:type="dxa"/>
            <w:noWrap w:val="0"/>
            <w:vAlign w:val="center"/>
          </w:tcPr>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1.机构职能、权责清单、执法人员名单；</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2.执法程序或行政强制流程图；</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3.执法依据；</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4.行政处罚自由裁量基准；</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5.咨询、监督投诉方式；</w:t>
            </w:r>
          </w:p>
          <w:p>
            <w:pPr>
              <w:jc w:val="left"/>
              <w:rPr>
                <w:rFonts w:hint="eastAsia" w:ascii="宋体" w:hAnsi="宋体" w:eastAsia="仿宋_GB2312" w:cs="宋体"/>
                <w:color w:val="000000" w:themeColor="text1"/>
                <w:sz w:val="18"/>
                <w:szCs w:val="18"/>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6.处罚决定；</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14:textFill>
                  <w14:solidFill>
                    <w14:schemeClr w14:val="tx1"/>
                  </w14:solidFill>
                </w14:textFill>
              </w:rPr>
              <w:t>7.救济渠道。</w:t>
            </w:r>
          </w:p>
        </w:tc>
        <w:tc>
          <w:tcPr>
            <w:tcW w:w="162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《物业管理条例》（国令第504号）</w:t>
            </w:r>
          </w:p>
        </w:tc>
        <w:tc>
          <w:tcPr>
            <w:tcW w:w="2160" w:type="dxa"/>
            <w:noWrap w:val="0"/>
            <w:vAlign w:val="center"/>
          </w:tcPr>
          <w:p>
            <w:pPr>
              <w:jc w:val="left"/>
              <w:rPr>
                <w:rFonts w:hint="eastAsia"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1.除处罚决定外其他内容：长期公开（动态调整）；2.处罚决定：20个工作日内。</w:t>
            </w:r>
          </w:p>
        </w:tc>
        <w:tc>
          <w:tcPr>
            <w:tcW w:w="1440" w:type="dxa"/>
            <w:noWrap w:val="0"/>
            <w:vAlign w:val="center"/>
          </w:tcPr>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s="宋体"/>
                <w:color w:val="000000" w:themeColor="text1"/>
                <w:sz w:val="18"/>
                <w:szCs w:val="18"/>
                <w:lang w:val="en-US" w:eastAsia="zh-CN"/>
                <w14:textFill>
                  <w14:solidFill>
                    <w14:schemeClr w14:val="tx1"/>
                  </w14:solidFill>
                </w14:textFill>
              </w:rPr>
              <w:t>区城管分局</w:t>
            </w:r>
          </w:p>
        </w:tc>
        <w:tc>
          <w:tcPr>
            <w:tcW w:w="1440" w:type="dxa"/>
            <w:noWrap w:val="0"/>
            <w:vAlign w:val="center"/>
          </w:tcPr>
          <w:p>
            <w:pPr>
              <w:jc w:val="left"/>
              <w:rPr>
                <w:rFonts w:hint="eastAsia" w:ascii="宋体" w:hAnsi="宋体" w:eastAsia="仿宋_GB2312"/>
                <w:color w:val="000000" w:themeColor="text1"/>
                <w:sz w:val="18"/>
                <w:szCs w:val="18"/>
                <w14:textFill>
                  <w14:solidFill>
                    <w14:schemeClr w14:val="tx1"/>
                  </w14:solidFill>
                </w14:textFill>
              </w:rPr>
            </w:pPr>
          </w:p>
          <w:p>
            <w:pPr>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■政府网站</w:t>
            </w:r>
          </w:p>
          <w:p>
            <w:pPr>
              <w:jc w:val="left"/>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96"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664" w:type="dxa"/>
            <w:noWrap w:val="0"/>
            <w:vAlign w:val="center"/>
          </w:tcPr>
          <w:p>
            <w:pPr>
              <w:jc w:val="center"/>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　</w:t>
            </w:r>
          </w:p>
        </w:tc>
        <w:tc>
          <w:tcPr>
            <w:tcW w:w="54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c>
          <w:tcPr>
            <w:tcW w:w="720" w:type="dxa"/>
            <w:noWrap w:val="0"/>
            <w:vAlign w:val="center"/>
          </w:tcPr>
          <w:p>
            <w:pPr>
              <w:jc w:val="center"/>
              <w:rPr>
                <w:rFonts w:hint="eastAsia" w:ascii="宋体" w:hAnsi="宋体" w:eastAsia="仿宋_GB2312" w:cs="Arial"/>
                <w:color w:val="000000" w:themeColor="text1"/>
                <w:kern w:val="2"/>
                <w:sz w:val="18"/>
                <w:szCs w:val="18"/>
                <w:lang w:val="en-US" w:eastAsia="zh-CN" w:bidi="ar-SA"/>
                <w14:textFill>
                  <w14:solidFill>
                    <w14:schemeClr w14:val="tx1"/>
                  </w14:solidFill>
                </w14:textFill>
              </w:rPr>
            </w:pPr>
            <w:r>
              <w:rPr>
                <w:rFonts w:hint="eastAsia" w:ascii="宋体" w:hAnsi="宋体" w:eastAsia="仿宋_GB2312" w:cs="Arial"/>
                <w:color w:val="000000" w:themeColor="text1"/>
                <w:sz w:val="18"/>
                <w:szCs w:val="18"/>
                <w14:textFill>
                  <w14:solidFill>
                    <w14:schemeClr w14:val="tx1"/>
                  </w14:solidFill>
                </w14:textFill>
              </w:rPr>
              <w:t>√</w:t>
            </w:r>
          </w:p>
        </w:tc>
      </w:tr>
    </w:tbl>
    <w:p>
      <w:pPr>
        <w:rPr>
          <w:rFonts w:hint="eastAsia" w:ascii="宋体" w:hAnsi="宋体" w:eastAsia="楷体_GB2312"/>
          <w:color w:val="000000" w:themeColor="text1"/>
          <w:sz w:val="30"/>
          <w:szCs w:val="30"/>
          <w14:textFill>
            <w14:solidFill>
              <w14:schemeClr w14:val="tx1"/>
            </w14:solidFill>
          </w14:textFill>
        </w:rPr>
      </w:pPr>
    </w:p>
    <w:p>
      <w:pPr>
        <w:rPr>
          <w:rFonts w:hint="eastAsia" w:ascii="宋体" w:hAnsi="宋体" w:eastAsia="楷体_GB2312"/>
          <w:color w:val="000000" w:themeColor="text1"/>
          <w:sz w:val="30"/>
          <w:szCs w:val="30"/>
          <w14:textFill>
            <w14:solidFill>
              <w14:schemeClr w14:val="tx1"/>
            </w14:solidFill>
          </w14:textFill>
        </w:rPr>
      </w:pPr>
      <w:r>
        <w:rPr>
          <w:rFonts w:hint="eastAsia" w:ascii="宋体" w:hAnsi="宋体" w:eastAsia="楷体_GB2312"/>
          <w:color w:val="000000" w:themeColor="text1"/>
          <w:sz w:val="30"/>
          <w:szCs w:val="30"/>
          <w14:textFill>
            <w14:solidFill>
              <w14:schemeClr w14:val="tx1"/>
            </w14:solidFill>
          </w14:textFill>
        </w:rPr>
        <w:t>备注：考虑到篇幅原因，城市综合执法领域基层政务公开标准目录其他内容略。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551B5"/>
    <w:multiLevelType w:val="singleLevel"/>
    <w:tmpl w:val="B97551B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5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2020-12-17T09:25:24Z</dcterms:created>
  <dc:creator>郑敏锋</dc:creator>
  <cp:lastModifiedBy>荆棘鸟</cp:lastModifiedBy>
  <dcterms:modified xsi:type="dcterms:W3CDTF">2020-12-17T09:26:11Z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