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bdr w:val="none" w:color="auto" w:sz="0" w:space="0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bdr w:val="none" w:color="auto" w:sz="0" w:space="0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赣州蓉江新区惠企政策兑现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distribute"/>
        <w:textAlignment w:val="auto"/>
        <w:rPr>
          <w:rFonts w:hint="eastAsia" w:ascii="宋体" w:hAnsi="宋体" w:eastAsia="方正小标宋简体" w:cs="方正小标宋简体"/>
          <w:snapToGrid w:val="0"/>
          <w:spacing w:val="-20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10"/>
          <w:sz w:val="44"/>
          <w:szCs w:val="44"/>
          <w:lang w:val="en-US" w:eastAsia="zh-CN" w:bidi="ar"/>
        </w:rPr>
        <w:t>“线上一网 线下一窗”改革工作任务分工表</w:t>
      </w:r>
    </w:p>
    <w:tbl>
      <w:tblPr>
        <w:tblStyle w:val="3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479"/>
        <w:gridCol w:w="1634"/>
        <w:gridCol w:w="178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  <w:t>工作内容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  <w:t>牵头单位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仿宋_GB2312" w:cs="仿宋_GB2312"/>
                <w:b/>
                <w:bCs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  <w:t>责任单位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黑体" w:cs="黑体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kern w:val="2"/>
                <w:sz w:val="24"/>
                <w:szCs w:val="24"/>
                <w:bdr w:val="none" w:color="auto" w:sz="0" w:space="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1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制定《赣州蓉江新区惠企政策兑现“线上一网 线下一窗”改革工作方案》。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区经发局、区财政局、各政策主管部门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2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建立惠企政策“归口”管理机制，对全区惠企政策进行规范性指导。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区经发局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区行政审批局、区财政局、各政策主管部门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3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梳理惠企政策清单并动态管理，逐项制定办事指南。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区经发局</w:t>
            </w:r>
          </w:p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  <w:t>区产业招商局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4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做好兑现资金的保障和监管，制定区级惠企政策专项资金管理暂行办法。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区行政审批局、各政策主管部门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2022年3月底前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编制各惠企资金预算，设立资金池。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6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设立“惠企政策兑现”专窗，协调各项政策事项、人员、系统入驻专窗，建设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“亲清赣商”蓉江新区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平台，上传各惠企政策兑付流程、资料等。负责“一网（窗）收件、分流转办、办件督办、资金兑付”全流程实施。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区经发局、区财政局、各政策主管部门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7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强化数据共享，推进企业入规、电力、信用信息、税收、金融、生态环境保护、安全生产等方面数据查询并盖章确认，在兑现奖补资金时按职责做好企业失信、涉黑涉恶、生态环境违法及安全生产违法等方面联合审核工作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区经发、区公安分局、区生态环境分局，各政策主管部门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8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惠企政策事项接入市级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“亲清赣商”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平台并全面运行。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区行政审批局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widowControl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</w:rPr>
              <w:t xml:space="preserve"> 9</w:t>
            </w:r>
          </w:p>
        </w:tc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建立惠企政策兑现常态化工作机制，基本构建“线上一网 线下一窗”政策兑现服务体系。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区经发局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各政策主管部门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2022年6月31日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mRmMGJhZGEwZDIyOWU5NDIwZWFmNWM1NzU2MDIifQ=="/>
  </w:docVars>
  <w:rsids>
    <w:rsidRoot w:val="00000000"/>
    <w:rsid w:val="3F6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customStyle="1" w:styleId="5">
    <w:name w:val="Heading2"/>
    <w:basedOn w:val="1"/>
    <w:uiPriority w:val="0"/>
    <w:pPr>
      <w:keepNext/>
      <w:keepLines/>
      <w:widowControl w:val="0"/>
      <w:suppressLineNumbers w:val="0"/>
      <w:spacing w:before="0" w:beforeAutospacing="0" w:after="0" w:afterAutospacing="0" w:line="415" w:lineRule="auto"/>
      <w:ind w:left="0" w:right="0"/>
      <w:jc w:val="both"/>
      <w:textAlignment w:val="baseline"/>
    </w:pPr>
    <w:rPr>
      <w:rFonts w:hint="default" w:ascii="Arial" w:hAnsi="Arial" w:eastAsia="黑体" w:cs="Arial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2022-07-25T10:55:00Z</dcterms:created>
  <dc:creator>3218</dc:creator>
  <cp:lastModifiedBy>年轮流转、岁月静好</cp:lastModifiedBy>
  <dcterms:modified xsi:type="dcterms:W3CDTF">2022-07-25T10:59:03Z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C47450070DC045ADB3318DF3115A990D</vt:lpwstr>
  </property>
</Properties>
</file>