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highlight w:val="yellow"/>
        </w:rPr>
      </w:pPr>
    </w:p>
    <w:p>
      <w:pPr>
        <w:rPr>
          <w:sz w:val="44"/>
          <w:szCs w:val="44"/>
          <w:highlight w:val="yellow"/>
        </w:rPr>
      </w:pPr>
    </w:p>
    <w:p>
      <w:pPr>
        <w:jc w:val="center"/>
        <w:rPr>
          <w:sz w:val="44"/>
          <w:szCs w:val="44"/>
          <w:highlight w:val="yellow"/>
        </w:rPr>
      </w:pPr>
    </w:p>
    <w:p>
      <w:pPr>
        <w:bidi w:val="0"/>
        <w:jc w:val="center"/>
        <w:rPr>
          <w:rFonts w:hint="eastAsia" w:ascii="宋体" w:hAnsi="宋体" w:eastAsia="宋体" w:cs="宋体"/>
          <w:b/>
          <w:bCs/>
          <w:sz w:val="44"/>
          <w:szCs w:val="44"/>
        </w:rPr>
      </w:pPr>
      <w:bookmarkStart w:id="0" w:name="_Toc22720"/>
      <w:r>
        <w:rPr>
          <w:rFonts w:hint="eastAsia" w:ascii="宋体" w:hAnsi="宋体" w:eastAsia="宋体" w:cs="宋体"/>
          <w:b/>
          <w:bCs/>
          <w:sz w:val="44"/>
          <w:szCs w:val="44"/>
        </w:rPr>
        <w:t>赣州蓉江新区</w:t>
      </w:r>
      <w:r>
        <w:rPr>
          <w:rFonts w:hint="eastAsia" w:ascii="宋体" w:hAnsi="宋体" w:eastAsia="宋体" w:cs="宋体"/>
          <w:b/>
          <w:bCs/>
          <w:sz w:val="44"/>
          <w:szCs w:val="44"/>
          <w:lang w:val="en-US" w:eastAsia="zh-CN"/>
        </w:rPr>
        <w:t>农业农村工作办公室</w:t>
      </w:r>
      <w:bookmarkEnd w:id="0"/>
      <w:r>
        <w:rPr>
          <w:rFonts w:hint="eastAsia" w:ascii="宋体" w:hAnsi="宋体" w:eastAsia="宋体" w:cs="宋体"/>
          <w:b/>
          <w:bCs/>
          <w:sz w:val="44"/>
          <w:szCs w:val="44"/>
        </w:rPr>
        <w:t>202</w:t>
      </w:r>
      <w:r>
        <w:rPr>
          <w:rFonts w:hint="eastAsia" w:ascii="宋体" w:hAnsi="宋体" w:eastAsia="宋体" w:cs="宋体"/>
          <w:b/>
          <w:bCs/>
          <w:sz w:val="44"/>
          <w:szCs w:val="44"/>
          <w:lang w:val="en-US" w:eastAsia="zh-CN"/>
        </w:rPr>
        <w:t>2</w:t>
      </w:r>
      <w:r>
        <w:rPr>
          <w:rFonts w:hint="eastAsia" w:ascii="宋体" w:hAnsi="宋体" w:eastAsia="宋体" w:cs="宋体"/>
          <w:b/>
          <w:bCs/>
          <w:sz w:val="44"/>
          <w:szCs w:val="44"/>
        </w:rPr>
        <w:t>年</w:t>
      </w:r>
      <w:r>
        <w:rPr>
          <w:rFonts w:hint="eastAsia" w:ascii="宋体" w:hAnsi="宋体" w:eastAsia="宋体" w:cs="宋体"/>
          <w:b/>
          <w:bCs/>
          <w:sz w:val="44"/>
          <w:szCs w:val="44"/>
          <w:lang w:val="en-US" w:eastAsia="zh-CN"/>
        </w:rPr>
        <w:t>精准防贫保险</w:t>
      </w:r>
      <w:r>
        <w:rPr>
          <w:rFonts w:hint="eastAsia" w:ascii="宋体" w:hAnsi="宋体" w:eastAsia="宋体" w:cs="宋体"/>
          <w:b/>
          <w:bCs/>
          <w:sz w:val="44"/>
          <w:szCs w:val="44"/>
        </w:rPr>
        <w:t>项目支出绩效评价报告</w:t>
      </w:r>
    </w:p>
    <w:p>
      <w:pPr>
        <w:jc w:val="center"/>
        <w:rPr>
          <w:color w:val="auto"/>
          <w:highlight w:val="none"/>
        </w:rPr>
      </w:pPr>
      <w:r>
        <w:rPr>
          <w:rFonts w:hint="eastAsia" w:cs="仿宋" w:asciiTheme="majorEastAsia" w:hAnsiTheme="majorEastAsia" w:eastAsiaTheme="majorEastAsia"/>
          <w:sz w:val="28"/>
          <w:szCs w:val="28"/>
          <w:highlight w:val="none"/>
          <w:u w:val="none"/>
        </w:rPr>
        <w:t>国众联咨报字﹝</w:t>
      </w:r>
      <w:r>
        <w:rPr>
          <w:rFonts w:hint="eastAsia" w:cs="仿宋" w:asciiTheme="majorEastAsia" w:hAnsiTheme="majorEastAsia" w:eastAsiaTheme="majorEastAsia"/>
          <w:sz w:val="28"/>
          <w:szCs w:val="28"/>
          <w:highlight w:val="none"/>
          <w:u w:val="none"/>
          <w:lang w:val="en-US" w:eastAsia="zh-CN"/>
        </w:rPr>
        <w:t>2024</w:t>
      </w:r>
      <w:r>
        <w:rPr>
          <w:rFonts w:hint="eastAsia" w:cs="仿宋" w:asciiTheme="majorEastAsia" w:hAnsiTheme="majorEastAsia" w:eastAsiaTheme="majorEastAsia"/>
          <w:sz w:val="28"/>
          <w:szCs w:val="28"/>
          <w:highlight w:val="none"/>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0035</w:t>
      </w:r>
      <w:r>
        <w:rPr>
          <w:rFonts w:hint="eastAsia" w:cs="仿宋" w:asciiTheme="majorEastAsia" w:hAnsiTheme="majorEastAsia" w:eastAsiaTheme="majorEastAsia"/>
          <w:sz w:val="28"/>
          <w:szCs w:val="28"/>
          <w:highlight w:val="none"/>
          <w:u w:val="none"/>
        </w:rPr>
        <w:t>号</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项目名称：</w:t>
      </w:r>
      <w:r>
        <w:rPr>
          <w:rFonts w:hint="eastAsia" w:ascii="仿宋" w:hAnsi="仿宋" w:eastAsia="仿宋"/>
          <w:color w:val="auto"/>
          <w:sz w:val="32"/>
          <w:szCs w:val="32"/>
          <w:highlight w:val="none"/>
          <w:lang w:val="en-US" w:eastAsia="zh-CN"/>
        </w:rPr>
        <w:t>赣州蓉江新区农业农村工作办公室2022年精准防贫保险项目</w:t>
      </w:r>
    </w:p>
    <w:p>
      <w:pPr>
        <w:rPr>
          <w:rFonts w:ascii="仿宋" w:hAnsi="仿宋" w:eastAsia="仿宋"/>
          <w:color w:val="auto"/>
          <w:sz w:val="32"/>
          <w:szCs w:val="32"/>
          <w:highlight w:val="none"/>
        </w:rPr>
      </w:pPr>
      <w:r>
        <w:rPr>
          <w:rFonts w:hint="eastAsia" w:ascii="仿宋" w:hAnsi="仿宋" w:eastAsia="仿宋"/>
          <w:color w:val="auto"/>
          <w:sz w:val="32"/>
          <w:szCs w:val="32"/>
          <w:highlight w:val="none"/>
        </w:rPr>
        <w:t>项目单位：赣州蓉江新区农业农村工作办公室</w:t>
      </w:r>
    </w:p>
    <w:p>
      <w:pPr>
        <w:rPr>
          <w:rFonts w:ascii="仿宋" w:hAnsi="仿宋" w:eastAsia="仿宋"/>
          <w:color w:val="auto"/>
          <w:sz w:val="32"/>
          <w:szCs w:val="32"/>
          <w:highlight w:val="none"/>
        </w:rPr>
      </w:pPr>
      <w:r>
        <w:rPr>
          <w:rFonts w:hint="eastAsia" w:ascii="仿宋" w:hAnsi="仿宋" w:eastAsia="仿宋"/>
          <w:color w:val="auto"/>
          <w:sz w:val="32"/>
          <w:szCs w:val="32"/>
          <w:highlight w:val="none"/>
        </w:rPr>
        <w:t>委托单位：赣州蓉江新区财政局</w:t>
      </w:r>
    </w:p>
    <w:p>
      <w:pPr>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评价机构：</w:t>
      </w:r>
      <w:r>
        <w:rPr>
          <w:rFonts w:hint="eastAsia" w:ascii="仿宋" w:hAnsi="仿宋" w:eastAsia="仿宋"/>
          <w:color w:val="auto"/>
          <w:sz w:val="32"/>
          <w:szCs w:val="32"/>
          <w:highlight w:val="none"/>
          <w:lang w:eastAsia="zh-CN"/>
        </w:rPr>
        <w:t>国众联资产评估土地房地产估价有限公司</w:t>
      </w:r>
    </w:p>
    <w:p>
      <w:pPr>
        <w:rPr>
          <w:rFonts w:ascii="仿宋" w:hAnsi="仿宋" w:eastAsia="仿宋"/>
          <w:color w:val="auto"/>
          <w:sz w:val="32"/>
          <w:szCs w:val="32"/>
          <w:highlight w:val="none"/>
        </w:rPr>
      </w:pPr>
      <w:r>
        <w:rPr>
          <w:rFonts w:hint="eastAsia" w:ascii="仿宋" w:hAnsi="仿宋" w:eastAsia="仿宋"/>
          <w:color w:val="auto"/>
          <w:sz w:val="32"/>
          <w:szCs w:val="32"/>
          <w:highlight w:val="none"/>
        </w:rPr>
        <w:t>报告日期：二</w:t>
      </w:r>
      <w:r>
        <w:rPr>
          <w:rFonts w:hint="eastAsia" w:ascii="仿宋" w:hAnsi="仿宋" w:eastAsia="仿宋"/>
          <w:color w:val="auto"/>
          <w:sz w:val="32"/>
          <w:szCs w:val="32"/>
          <w:highlight w:val="none"/>
          <w:lang w:val="en-US" w:eastAsia="zh-CN"/>
        </w:rPr>
        <w:t>零</w:t>
      </w:r>
      <w:r>
        <w:rPr>
          <w:rFonts w:hint="eastAsia" w:ascii="仿宋" w:hAnsi="仿宋" w:eastAsia="仿宋"/>
          <w:color w:val="auto"/>
          <w:sz w:val="32"/>
          <w:szCs w:val="32"/>
          <w:highlight w:val="none"/>
        </w:rPr>
        <w:t>二</w:t>
      </w:r>
      <w:r>
        <w:rPr>
          <w:rFonts w:hint="eastAsia" w:ascii="仿宋" w:hAnsi="仿宋" w:eastAsia="仿宋"/>
          <w:color w:val="auto"/>
          <w:sz w:val="32"/>
          <w:szCs w:val="32"/>
          <w:highlight w:val="none"/>
          <w:lang w:val="en-US" w:eastAsia="zh-CN"/>
        </w:rPr>
        <w:t>三</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val="en-US" w:eastAsia="zh-CN"/>
        </w:rPr>
        <w:t>十二</w:t>
      </w:r>
      <w:r>
        <w:rPr>
          <w:rFonts w:hint="eastAsia" w:ascii="仿宋" w:hAnsi="仿宋" w:eastAsia="仿宋"/>
          <w:color w:val="auto"/>
          <w:sz w:val="32"/>
          <w:szCs w:val="32"/>
          <w:highlight w:val="none"/>
        </w:rPr>
        <w:t>月</w:t>
      </w:r>
    </w:p>
    <w:p>
      <w:pPr>
        <w:rPr>
          <w:b/>
          <w:color w:val="auto"/>
          <w:sz w:val="30"/>
          <w:szCs w:val="30"/>
          <w:highlight w:val="none"/>
        </w:rPr>
      </w:pPr>
    </w:p>
    <w:p>
      <w:pPr>
        <w:widowControl/>
        <w:jc w:val="center"/>
        <w:rPr>
          <w:rFonts w:hint="eastAsia" w:ascii="仿宋" w:hAnsi="仿宋" w:eastAsia="仿宋" w:cs="仿宋"/>
          <w:b/>
          <w:color w:val="auto"/>
          <w:sz w:val="36"/>
          <w:szCs w:val="36"/>
          <w:highlight w:val="none"/>
        </w:rPr>
        <w:sectPr>
          <w:headerReference r:id="rId4" w:type="first"/>
          <w:headerReference r:id="rId3" w:type="default"/>
          <w:pgSz w:w="11906" w:h="16838"/>
          <w:pgMar w:top="1440" w:right="1474" w:bottom="1440" w:left="1474" w:header="851" w:footer="992" w:gutter="0"/>
          <w:cols w:space="0" w:num="1"/>
          <w:titlePg/>
          <w:rtlGutter w:val="0"/>
          <w:docGrid w:type="lines" w:linePitch="312" w:charSpace="0"/>
        </w:sectPr>
      </w:pPr>
    </w:p>
    <w:p>
      <w:pPr>
        <w:bidi w:val="0"/>
        <w:jc w:val="center"/>
        <w:rPr>
          <w:rFonts w:hint="eastAsia" w:ascii="宋体" w:hAnsi="宋体" w:eastAsia="宋体" w:cs="宋体"/>
          <w:b/>
          <w:bCs/>
          <w:sz w:val="44"/>
          <w:szCs w:val="44"/>
        </w:rPr>
      </w:pPr>
      <w:bookmarkStart w:id="1" w:name="_Toc19290"/>
      <w:r>
        <w:rPr>
          <w:rFonts w:hint="eastAsia" w:ascii="宋体" w:hAnsi="宋体" w:eastAsia="宋体" w:cs="宋体"/>
          <w:b/>
          <w:bCs/>
          <w:sz w:val="44"/>
          <w:szCs w:val="44"/>
        </w:rPr>
        <w:t>摘</w:t>
      </w:r>
      <w:r>
        <w:rPr>
          <w:rFonts w:hint="eastAsia" w:ascii="宋体" w:hAnsi="宋体" w:eastAsia="宋体" w:cs="宋体"/>
          <w:b/>
          <w:bCs/>
          <w:sz w:val="44"/>
          <w:szCs w:val="44"/>
          <w:lang w:val="en-US" w:eastAsia="zh-CN"/>
        </w:rPr>
        <w:t xml:space="preserve"> </w:t>
      </w:r>
      <w:r>
        <w:rPr>
          <w:rFonts w:hint="eastAsia" w:ascii="宋体" w:hAnsi="宋体" w:eastAsia="宋体" w:cs="宋体"/>
          <w:b/>
          <w:bCs/>
          <w:sz w:val="44"/>
          <w:szCs w:val="44"/>
        </w:rPr>
        <w:t>要</w:t>
      </w:r>
      <w:bookmarkEnd w:id="1"/>
    </w:p>
    <w:p>
      <w:pPr>
        <w:bidi w:val="0"/>
        <w:rPr>
          <w:rFonts w:hint="eastAsia" w:ascii="仿宋" w:hAnsi="仿宋" w:eastAsia="仿宋" w:cs="仿宋"/>
          <w:b/>
          <w:bCs/>
          <w:sz w:val="32"/>
          <w:szCs w:val="32"/>
        </w:rPr>
      </w:pPr>
      <w:bookmarkStart w:id="2" w:name="_Toc27869"/>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项目实施概况</w:t>
      </w:r>
      <w:bookmarkEnd w:id="2"/>
    </w:p>
    <w:p>
      <w:pPr>
        <w:ind w:firstLine="640" w:firstLineChars="200"/>
        <w:rPr>
          <w:rFonts w:hint="default" w:ascii="仿宋" w:hAnsi="仿宋" w:eastAsia="仿宋"/>
          <w:color w:val="auto"/>
          <w:sz w:val="32"/>
          <w:szCs w:val="32"/>
          <w:highlight w:val="none"/>
          <w:lang w:val="en-US"/>
        </w:rPr>
      </w:pPr>
      <w:r>
        <w:rPr>
          <w:rFonts w:hint="eastAsia" w:ascii="仿宋" w:hAnsi="仿宋" w:eastAsia="仿宋"/>
          <w:color w:val="auto"/>
          <w:sz w:val="32"/>
          <w:szCs w:val="32"/>
          <w:highlight w:val="none"/>
          <w:lang w:eastAsia="zh-CN"/>
        </w:rPr>
        <w:t>赣州蓉江新区农业农村工作办公室2022年精准防贫保险项目</w:t>
      </w:r>
      <w:r>
        <w:rPr>
          <w:rFonts w:hint="eastAsia" w:ascii="仿宋" w:hAnsi="仿宋" w:eastAsia="仿宋"/>
          <w:color w:val="auto"/>
          <w:sz w:val="32"/>
          <w:szCs w:val="32"/>
          <w:highlight w:val="none"/>
        </w:rPr>
        <w:t>主要内容为</w:t>
      </w:r>
      <w:r>
        <w:rPr>
          <w:rFonts w:hint="eastAsia" w:ascii="仿宋" w:hAnsi="仿宋" w:eastAsia="仿宋"/>
          <w:color w:val="auto"/>
          <w:sz w:val="32"/>
          <w:szCs w:val="32"/>
          <w:highlight w:val="none"/>
          <w:lang w:val="en-US" w:eastAsia="zh-CN"/>
        </w:rPr>
        <w:t>因病、因学、因灾（含意外事故）、因赔偿责任、因生产资料损失等五大因素导致存在致贫返贫风险的农村户籍人口，提供每人最高30万元的防贫保障金额</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val="en-US" w:eastAsia="zh-CN"/>
        </w:rPr>
        <w:t>通过招投标方式，由中国人民财产保险股份有限公司赣州市分</w:t>
      </w:r>
      <w:r>
        <w:rPr>
          <w:rFonts w:hint="default" w:ascii="仿宋" w:hAnsi="仿宋" w:eastAsia="仿宋"/>
          <w:color w:val="auto"/>
          <w:sz w:val="32"/>
          <w:szCs w:val="32"/>
          <w:highlight w:val="none"/>
          <w:lang w:val="en-US" w:eastAsia="zh-CN"/>
        </w:rPr>
        <w:t>公司</w:t>
      </w:r>
      <w:r>
        <w:rPr>
          <w:rFonts w:hint="eastAsia" w:ascii="仿宋" w:hAnsi="仿宋" w:eastAsia="仿宋"/>
          <w:color w:val="auto"/>
          <w:sz w:val="32"/>
          <w:szCs w:val="32"/>
          <w:highlight w:val="none"/>
          <w:lang w:val="en-US" w:eastAsia="zh-CN"/>
        </w:rPr>
        <w:t>承保，投保人数5000人，经费拨款60万元。</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通过项目实施，</w:t>
      </w:r>
      <w:r>
        <w:rPr>
          <w:rFonts w:hint="eastAsia" w:ascii="仿宋" w:hAnsi="仿宋" w:eastAsia="仿宋"/>
          <w:color w:val="auto"/>
          <w:sz w:val="32"/>
          <w:szCs w:val="32"/>
          <w:highlight w:val="none"/>
          <w:lang w:val="en-US" w:eastAsia="zh-CN"/>
        </w:rPr>
        <w:t>2022年全区理赔共计54户1035495元，</w:t>
      </w:r>
      <w:r>
        <w:rPr>
          <w:rFonts w:hint="eastAsia" w:ascii="仿宋" w:hAnsi="仿宋" w:eastAsia="仿宋"/>
          <w:color w:val="auto"/>
          <w:sz w:val="32"/>
          <w:szCs w:val="32"/>
          <w:highlight w:val="none"/>
        </w:rPr>
        <w:t>一定程度上</w:t>
      </w:r>
      <w:r>
        <w:rPr>
          <w:rFonts w:hint="eastAsia" w:ascii="仿宋" w:hAnsi="仿宋" w:eastAsia="仿宋"/>
          <w:color w:val="auto"/>
          <w:sz w:val="32"/>
          <w:szCs w:val="32"/>
          <w:highlight w:val="none"/>
          <w:lang w:val="en-US" w:eastAsia="zh-CN"/>
        </w:rPr>
        <w:t>降低了农户</w:t>
      </w:r>
      <w:r>
        <w:rPr>
          <w:rFonts w:hint="eastAsia" w:ascii="仿宋" w:hAnsi="仿宋" w:eastAsia="仿宋"/>
          <w:color w:val="auto"/>
          <w:sz w:val="32"/>
          <w:szCs w:val="32"/>
          <w:highlight w:val="none"/>
        </w:rPr>
        <w:t>的</w:t>
      </w:r>
      <w:r>
        <w:rPr>
          <w:rFonts w:hint="eastAsia" w:ascii="仿宋" w:hAnsi="仿宋" w:eastAsia="仿宋"/>
          <w:color w:val="auto"/>
          <w:sz w:val="32"/>
          <w:szCs w:val="32"/>
          <w:highlight w:val="none"/>
          <w:lang w:val="en-US" w:eastAsia="zh-CN"/>
        </w:rPr>
        <w:t>经济损失，为边缘脱贫人员提供有力保障，同时巩固</w:t>
      </w:r>
      <w:r>
        <w:rPr>
          <w:rFonts w:hint="eastAsia" w:ascii="仿宋" w:hAnsi="仿宋" w:eastAsia="仿宋" w:cs="仿宋"/>
          <w:color w:val="auto"/>
          <w:sz w:val="32"/>
          <w:szCs w:val="32"/>
          <w:highlight w:val="none"/>
          <w:lang w:val="en-US" w:eastAsia="zh-CN"/>
        </w:rPr>
        <w:t>拓展脱贫成果、守住致贫返贫底线，</w:t>
      </w:r>
      <w:r>
        <w:rPr>
          <w:rFonts w:hint="eastAsia" w:ascii="仿宋" w:hAnsi="仿宋" w:eastAsia="仿宋"/>
          <w:color w:val="auto"/>
          <w:sz w:val="32"/>
          <w:szCs w:val="32"/>
          <w:highlight w:val="none"/>
        </w:rPr>
        <w:t>推进了乡村振兴。</w:t>
      </w:r>
    </w:p>
    <w:p>
      <w:pPr>
        <w:bidi w:val="0"/>
        <w:rPr>
          <w:rFonts w:hint="eastAsia" w:ascii="仿宋" w:hAnsi="仿宋" w:eastAsia="仿宋" w:cs="仿宋"/>
          <w:b/>
          <w:bCs/>
          <w:sz w:val="32"/>
          <w:szCs w:val="32"/>
        </w:rPr>
      </w:pPr>
      <w:bookmarkStart w:id="3" w:name="_Toc970"/>
      <w:r>
        <w:rPr>
          <w:rFonts w:hint="eastAsia" w:ascii="仿宋" w:hAnsi="仿宋" w:eastAsia="仿宋" w:cs="仿宋"/>
          <w:b/>
          <w:bCs/>
          <w:sz w:val="32"/>
          <w:szCs w:val="32"/>
        </w:rPr>
        <w:t>二、评价结果</w:t>
      </w:r>
      <w:bookmarkEnd w:id="3"/>
    </w:p>
    <w:p>
      <w:pPr>
        <w:spacing w:line="5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本次评价在资料查阅、现场调研及访谈基础上，对赣州蓉江新区</w:t>
      </w:r>
      <w:r>
        <w:rPr>
          <w:rFonts w:hint="eastAsia" w:ascii="仿宋" w:hAnsi="仿宋" w:eastAsia="仿宋"/>
          <w:color w:val="auto"/>
          <w:sz w:val="32"/>
          <w:szCs w:val="32"/>
          <w:highlight w:val="none"/>
          <w:lang w:val="en-US" w:eastAsia="zh-CN"/>
        </w:rPr>
        <w:t>农业农村工作办公室</w:t>
      </w:r>
      <w:r>
        <w:rPr>
          <w:rFonts w:hint="eastAsia" w:ascii="仿宋" w:hAnsi="仿宋" w:eastAsia="仿宋"/>
          <w:color w:val="auto"/>
          <w:sz w:val="32"/>
          <w:szCs w:val="32"/>
          <w:highlight w:val="none"/>
          <w:lang w:eastAsia="zh-CN"/>
        </w:rPr>
        <w:t>2022年</w:t>
      </w:r>
      <w:r>
        <w:rPr>
          <w:rFonts w:hint="eastAsia" w:ascii="仿宋" w:hAnsi="仿宋" w:eastAsia="仿宋"/>
          <w:color w:val="auto"/>
          <w:sz w:val="32"/>
          <w:szCs w:val="32"/>
          <w:highlight w:val="none"/>
          <w:lang w:val="en-US" w:eastAsia="zh-CN"/>
        </w:rPr>
        <w:t>精准防贫保险</w:t>
      </w:r>
      <w:r>
        <w:rPr>
          <w:rFonts w:hint="eastAsia" w:ascii="仿宋" w:hAnsi="仿宋" w:eastAsia="仿宋"/>
          <w:color w:val="auto"/>
          <w:sz w:val="32"/>
          <w:szCs w:val="32"/>
          <w:highlight w:val="none"/>
        </w:rPr>
        <w:t>项目绩效进行逐项打分、客观评价，等级设为四档：90（含）-100分为优、80（含）-90分为良、60（含）-80分为中等、60分以下为差。最终评分结果：总得分为</w:t>
      </w:r>
      <w:r>
        <w:rPr>
          <w:rFonts w:hint="eastAsia" w:ascii="仿宋" w:hAnsi="仿宋" w:eastAsia="仿宋"/>
          <w:color w:val="auto"/>
          <w:sz w:val="32"/>
          <w:szCs w:val="32"/>
          <w:highlight w:val="none"/>
          <w:lang w:val="en-US" w:eastAsia="zh-CN"/>
        </w:rPr>
        <w:t>94</w:t>
      </w:r>
      <w:r>
        <w:rPr>
          <w:rFonts w:hint="eastAsia" w:ascii="仿宋" w:hAnsi="仿宋" w:eastAsia="仿宋"/>
          <w:color w:val="auto"/>
          <w:sz w:val="32"/>
          <w:szCs w:val="32"/>
          <w:highlight w:val="none"/>
        </w:rPr>
        <w:t>分，绩效评级为“</w:t>
      </w:r>
      <w:r>
        <w:rPr>
          <w:rFonts w:hint="eastAsia" w:ascii="仿宋" w:hAnsi="仿宋" w:eastAsia="仿宋"/>
          <w:color w:val="auto"/>
          <w:sz w:val="32"/>
          <w:szCs w:val="32"/>
          <w:highlight w:val="none"/>
          <w:lang w:val="en-US" w:eastAsia="zh-CN"/>
        </w:rPr>
        <w:t>优</w:t>
      </w:r>
      <w:r>
        <w:rPr>
          <w:rFonts w:hint="eastAsia" w:ascii="仿宋" w:hAnsi="仿宋" w:eastAsia="仿宋"/>
          <w:color w:val="auto"/>
          <w:sz w:val="32"/>
          <w:szCs w:val="32"/>
          <w:highlight w:val="none"/>
        </w:rPr>
        <w:t>”。</w:t>
      </w:r>
    </w:p>
    <w:p>
      <w:pPr>
        <w:spacing w:line="560" w:lineRule="exact"/>
        <w:ind w:firstLine="42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项目绩效评分汇总表</w:t>
      </w:r>
    </w:p>
    <w:tbl>
      <w:tblPr>
        <w:tblStyle w:val="11"/>
        <w:tblpPr w:leftFromText="180" w:rightFromText="180" w:vertAnchor="text" w:horzAnchor="page" w:tblpX="1785" w:tblpY="207"/>
        <w:tblOverlap w:val="never"/>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9"/>
        <w:gridCol w:w="1511"/>
        <w:gridCol w:w="1691"/>
        <w:gridCol w:w="1568"/>
        <w:gridCol w:w="1458"/>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059"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指标</w:t>
            </w:r>
          </w:p>
        </w:tc>
        <w:tc>
          <w:tcPr>
            <w:tcW w:w="1511"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A.决策性指标</w:t>
            </w:r>
          </w:p>
        </w:tc>
        <w:tc>
          <w:tcPr>
            <w:tcW w:w="1691"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B.管理性指标</w:t>
            </w:r>
          </w:p>
        </w:tc>
        <w:tc>
          <w:tcPr>
            <w:tcW w:w="1568"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C.产出性指标</w:t>
            </w:r>
          </w:p>
        </w:tc>
        <w:tc>
          <w:tcPr>
            <w:tcW w:w="1458"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D.效果性指标</w:t>
            </w:r>
          </w:p>
        </w:tc>
        <w:tc>
          <w:tcPr>
            <w:tcW w:w="1230"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59"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权重</w:t>
            </w:r>
          </w:p>
        </w:tc>
        <w:tc>
          <w:tcPr>
            <w:tcW w:w="1511"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15</w:t>
            </w:r>
          </w:p>
        </w:tc>
        <w:tc>
          <w:tcPr>
            <w:tcW w:w="1691"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25</w:t>
            </w:r>
          </w:p>
        </w:tc>
        <w:tc>
          <w:tcPr>
            <w:tcW w:w="1568"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32</w:t>
            </w:r>
          </w:p>
        </w:tc>
        <w:tc>
          <w:tcPr>
            <w:tcW w:w="1458"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28</w:t>
            </w:r>
          </w:p>
        </w:tc>
        <w:tc>
          <w:tcPr>
            <w:tcW w:w="1230"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0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分值</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12</w:t>
            </w:r>
          </w:p>
        </w:tc>
        <w:tc>
          <w:tcPr>
            <w:tcW w:w="1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22</w:t>
            </w:r>
          </w:p>
        </w:tc>
        <w:tc>
          <w:tcPr>
            <w:tcW w:w="15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32</w:t>
            </w:r>
          </w:p>
        </w:tc>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28</w:t>
            </w:r>
          </w:p>
        </w:tc>
        <w:tc>
          <w:tcPr>
            <w:tcW w:w="12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得分率</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80</w:t>
            </w:r>
            <w:r>
              <w:rPr>
                <w:rFonts w:hint="eastAsia" w:ascii="仿宋" w:hAnsi="仿宋" w:eastAsia="仿宋" w:cs="仿宋"/>
                <w:color w:val="auto"/>
                <w:kern w:val="0"/>
                <w:sz w:val="32"/>
                <w:szCs w:val="32"/>
                <w:highlight w:val="none"/>
              </w:rPr>
              <w:t>%</w:t>
            </w:r>
          </w:p>
        </w:tc>
        <w:tc>
          <w:tcPr>
            <w:tcW w:w="1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88%</w:t>
            </w:r>
          </w:p>
        </w:tc>
        <w:tc>
          <w:tcPr>
            <w:tcW w:w="15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100%</w:t>
            </w:r>
          </w:p>
        </w:tc>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100</w:t>
            </w:r>
            <w:r>
              <w:rPr>
                <w:rFonts w:hint="eastAsia" w:ascii="仿宋" w:hAnsi="仿宋" w:eastAsia="仿宋" w:cs="仿宋"/>
                <w:color w:val="auto"/>
                <w:kern w:val="0"/>
                <w:sz w:val="32"/>
                <w:szCs w:val="32"/>
                <w:highlight w:val="none"/>
              </w:rPr>
              <w:t>%</w:t>
            </w:r>
          </w:p>
        </w:tc>
        <w:tc>
          <w:tcPr>
            <w:tcW w:w="12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94</w:t>
            </w:r>
            <w:r>
              <w:rPr>
                <w:rFonts w:hint="eastAsia" w:ascii="仿宋" w:hAnsi="仿宋" w:eastAsia="仿宋" w:cs="仿宋"/>
                <w:color w:val="auto"/>
                <w:kern w:val="0"/>
                <w:sz w:val="32"/>
                <w:szCs w:val="32"/>
                <w:highlight w:val="none"/>
              </w:rPr>
              <w:t>%</w:t>
            </w:r>
          </w:p>
        </w:tc>
      </w:tr>
    </w:tbl>
    <w:p>
      <w:pPr>
        <w:bidi w:val="0"/>
        <w:rPr>
          <w:rFonts w:hint="eastAsia" w:ascii="仿宋" w:hAnsi="仿宋" w:eastAsia="仿宋" w:cs="仿宋"/>
          <w:b/>
          <w:bCs/>
          <w:sz w:val="32"/>
          <w:szCs w:val="32"/>
        </w:rPr>
      </w:pPr>
      <w:bookmarkStart w:id="4" w:name="_Toc22095"/>
      <w:r>
        <w:rPr>
          <w:rFonts w:hint="eastAsia" w:ascii="仿宋" w:hAnsi="仿宋" w:eastAsia="仿宋" w:cs="仿宋"/>
          <w:b/>
          <w:bCs/>
          <w:sz w:val="32"/>
          <w:szCs w:val="32"/>
        </w:rPr>
        <w:t>三、存在的问题和建议</w:t>
      </w:r>
      <w:bookmarkEnd w:id="4"/>
    </w:p>
    <w:p>
      <w:pPr>
        <w:spacing w:line="56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（一）存在的问题</w:t>
      </w:r>
    </w:p>
    <w:p>
      <w:pPr>
        <w:spacing w:line="560" w:lineRule="exact"/>
        <w:ind w:firstLine="573"/>
        <w:jc w:val="left"/>
        <w:rPr>
          <w:rFonts w:ascii="仿宋" w:hAnsi="仿宋" w:eastAsia="仿宋" w:cs="仿宋"/>
          <w:color w:val="auto"/>
          <w:sz w:val="32"/>
          <w:szCs w:val="32"/>
          <w:highlight w:val="none"/>
        </w:rPr>
      </w:pPr>
      <w:r>
        <w:rPr>
          <w:rFonts w:hint="eastAsia" w:ascii="仿宋" w:hAnsi="仿宋" w:eastAsia="仿宋" w:cs="仿宋"/>
          <w:bCs/>
          <w:color w:val="auto"/>
          <w:sz w:val="32"/>
          <w:szCs w:val="32"/>
          <w:highlight w:val="none"/>
        </w:rPr>
        <w:t>1、预算绩效管理工作方面存在不足。</w:t>
      </w:r>
      <w:r>
        <w:rPr>
          <w:rFonts w:hint="eastAsia" w:ascii="仿宋" w:hAnsi="仿宋" w:eastAsia="仿宋" w:cs="仿宋"/>
          <w:color w:val="auto"/>
          <w:sz w:val="32"/>
          <w:szCs w:val="32"/>
          <w:highlight w:val="none"/>
        </w:rPr>
        <w:t>绩效目标管理工作有待改善，未设</w:t>
      </w:r>
      <w:r>
        <w:rPr>
          <w:rFonts w:hint="eastAsia" w:ascii="仿宋" w:hAnsi="仿宋" w:eastAsia="仿宋" w:cs="仿宋"/>
          <w:color w:val="auto"/>
          <w:sz w:val="32"/>
          <w:szCs w:val="32"/>
          <w:highlight w:val="none"/>
          <w:lang w:val="en-US" w:eastAsia="zh-CN"/>
        </w:rPr>
        <w:t>量化绩效目标值</w:t>
      </w:r>
      <w:r>
        <w:rPr>
          <w:rFonts w:hint="eastAsia" w:ascii="仿宋" w:hAnsi="仿宋" w:eastAsia="仿宋" w:cs="仿宋"/>
          <w:color w:val="auto"/>
          <w:sz w:val="32"/>
          <w:szCs w:val="32"/>
          <w:highlight w:val="none"/>
        </w:rPr>
        <w:t>、规范性不足的情形；绩效评价管理工作有待改善，无评价依据。</w:t>
      </w:r>
    </w:p>
    <w:p>
      <w:pPr>
        <w:spacing w:line="560" w:lineRule="exact"/>
        <w:ind w:firstLine="573"/>
        <w:jc w:val="left"/>
        <w:rPr>
          <w:rFonts w:hint="default" w:ascii="仿宋" w:hAnsi="仿宋" w:eastAsia="仿宋" w:cs="仿宋"/>
          <w:color w:val="auto"/>
          <w:sz w:val="32"/>
          <w:szCs w:val="32"/>
          <w:highlight w:val="none"/>
          <w:lang w:val="en-US" w:eastAsia="zh-CN"/>
        </w:rPr>
      </w:pPr>
      <w:r>
        <w:rPr>
          <w:rFonts w:hint="eastAsia" w:ascii="仿宋" w:hAnsi="仿宋" w:eastAsia="仿宋" w:cs="仿宋"/>
          <w:bCs/>
          <w:color w:val="auto"/>
          <w:sz w:val="32"/>
          <w:szCs w:val="32"/>
          <w:highlight w:val="none"/>
        </w:rPr>
        <w:t>2、</w:t>
      </w:r>
      <w:r>
        <w:rPr>
          <w:rFonts w:hint="eastAsia" w:ascii="仿宋" w:hAnsi="仿宋" w:eastAsia="仿宋" w:cs="仿宋"/>
          <w:bCs/>
          <w:color w:val="auto"/>
          <w:sz w:val="32"/>
          <w:szCs w:val="32"/>
          <w:highlight w:val="none"/>
          <w:lang w:val="en-US" w:eastAsia="zh-CN"/>
        </w:rPr>
        <w:t>预算编制和执行缺乏准确性。</w:t>
      </w:r>
      <w:r>
        <w:rPr>
          <w:rFonts w:hint="default" w:ascii="仿宋" w:hAnsi="仿宋" w:eastAsia="仿宋" w:cs="仿宋"/>
          <w:color w:val="auto"/>
          <w:sz w:val="32"/>
          <w:szCs w:val="32"/>
          <w:highlight w:val="none"/>
          <w:lang w:val="en-US" w:eastAsia="zh-CN"/>
        </w:rPr>
        <w:t>预算编制不够明确和细化，由于项目执行中不确定性因素较多，因而造成预算编制数和实际发生数存在差异，影响了预算收支的准确性。</w:t>
      </w:r>
    </w:p>
    <w:p>
      <w:pPr>
        <w:spacing w:line="560" w:lineRule="exact"/>
        <w:ind w:firstLine="573"/>
        <w:jc w:val="left"/>
        <w:rPr>
          <w:rFonts w:ascii="仿宋" w:hAnsi="仿宋" w:eastAsia="仿宋" w:cs="仿宋"/>
          <w:color w:val="auto"/>
          <w:sz w:val="32"/>
          <w:szCs w:val="32"/>
          <w:highlight w:val="none"/>
        </w:rPr>
      </w:pPr>
      <w:r>
        <w:rPr>
          <w:rFonts w:hint="eastAsia" w:ascii="仿宋" w:hAnsi="仿宋" w:eastAsia="仿宋"/>
          <w:color w:val="auto"/>
          <w:sz w:val="32"/>
          <w:szCs w:val="32"/>
          <w:highlight w:val="none"/>
        </w:rPr>
        <w:t>（二）改进措施和建议</w:t>
      </w:r>
    </w:p>
    <w:p>
      <w:pPr>
        <w:spacing w:line="560" w:lineRule="exact"/>
        <w:ind w:firstLine="57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进一步强化预算绩效管理工作，切实履行预算绩效管理职责，加强对部门预算执行过程的动态监督，及时掌握部门预算执行过程中的情况和</w:t>
      </w:r>
      <w:r>
        <w:rPr>
          <w:rFonts w:hint="eastAsia" w:ascii="仿宋" w:hAnsi="仿宋" w:eastAsia="仿宋" w:cs="仿宋"/>
          <w:color w:val="auto"/>
          <w:sz w:val="32"/>
          <w:szCs w:val="32"/>
          <w:highlight w:val="none"/>
          <w:lang w:eastAsia="zh-CN"/>
        </w:rPr>
        <w:t>实时</w:t>
      </w:r>
      <w:r>
        <w:rPr>
          <w:rFonts w:hint="eastAsia" w:ascii="仿宋" w:hAnsi="仿宋" w:eastAsia="仿宋" w:cs="仿宋"/>
          <w:color w:val="auto"/>
          <w:sz w:val="32"/>
          <w:szCs w:val="32"/>
          <w:highlight w:val="none"/>
        </w:rPr>
        <w:t>动态，提高预算编制和执行准确性，以进一步地推动预算单位的管理水平。</w:t>
      </w:r>
    </w:p>
    <w:p>
      <w:pPr>
        <w:spacing w:line="560" w:lineRule="exact"/>
        <w:ind w:firstLine="570"/>
        <w:jc w:val="left"/>
        <w:rPr>
          <w:rFonts w:ascii="仿宋" w:hAnsi="仿宋" w:eastAsia="仿宋" w:cs="仿宋"/>
          <w:b/>
          <w:bCs/>
          <w:color w:val="auto"/>
          <w:sz w:val="28"/>
          <w:szCs w:val="28"/>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建立项目个性业务绩效指标和标准体系。项目单位如能利用自身对项目的通晓优势，由单位相关各个业务部门共同参与建立最符合项目实际、最能体现项目绩效的个性化绩效指标和标准体系，对提高单位预算绩效管理水平，更好地实现绩效评价目的是有帮助的。</w:t>
      </w:r>
    </w:p>
    <w:sdt>
      <w:sdtPr>
        <w:rPr>
          <w:rFonts w:ascii="宋体" w:hAnsi="宋体" w:eastAsia="宋体" w:cstheme="minorBidi"/>
          <w:kern w:val="2"/>
          <w:sz w:val="21"/>
          <w:szCs w:val="22"/>
          <w:lang w:val="en-US" w:eastAsia="zh-CN" w:bidi="ar-SA"/>
        </w:rPr>
        <w:id w:val="147463581"/>
        <w15:color w:val="DBDBDB"/>
        <w:docPartObj>
          <w:docPartGallery w:val="Table of Contents"/>
          <w:docPartUnique/>
        </w:docPartObj>
      </w:sdtPr>
      <w:sdtEndPr>
        <w:rPr>
          <w:rFonts w:cs="仿宋" w:asciiTheme="majorEastAsia" w:hAnsiTheme="majorEastAsia" w:eastAsiaTheme="majorEastAsia"/>
          <w:b/>
          <w:color w:val="auto"/>
          <w:kern w:val="2"/>
          <w:sz w:val="21"/>
          <w:szCs w:val="44"/>
          <w:highlight w:val="none"/>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cstheme="minorBidi"/>
              <w:kern w:val="2"/>
              <w:sz w:val="21"/>
              <w:szCs w:val="22"/>
              <w:lang w:val="en-US" w:eastAsia="zh-CN" w:bidi="ar-SA"/>
            </w:rPr>
          </w:pPr>
        </w:p>
        <w:p>
          <w:pPr>
            <w:rPr>
              <w:rFonts w:ascii="宋体" w:hAnsi="宋体" w:eastAsia="宋体" w:cstheme="minorBidi"/>
              <w:kern w:val="2"/>
              <w:sz w:val="21"/>
              <w:szCs w:val="22"/>
              <w:lang w:val="en-US" w:eastAsia="zh-CN" w:bidi="ar-SA"/>
            </w:rPr>
          </w:pPr>
          <w:r>
            <w:rPr>
              <w:rFonts w:ascii="宋体" w:hAnsi="宋体" w:eastAsia="宋体" w:cstheme="minorBidi"/>
              <w:kern w:val="2"/>
              <w:sz w:val="21"/>
              <w:szCs w:val="22"/>
              <w:lang w:val="en-US" w:eastAsia="zh-CN" w:bidi="ar-SA"/>
            </w:rPr>
            <w:br w:type="page"/>
          </w:r>
        </w:p>
        <w:p>
          <w:pPr>
            <w:spacing w:before="0" w:beforeLines="0" w:after="0" w:afterLines="0" w:line="240" w:lineRule="auto"/>
            <w:ind w:left="0" w:leftChars="0" w:right="0" w:rightChars="0" w:firstLine="0" w:firstLineChars="0"/>
            <w:jc w:val="center"/>
            <w:rPr>
              <w:rFonts w:hint="eastAsia" w:ascii="仿宋" w:hAnsi="仿宋" w:eastAsia="仿宋" w:cs="仿宋"/>
              <w:b/>
              <w:bCs/>
              <w:sz w:val="36"/>
              <w:szCs w:val="36"/>
            </w:rPr>
          </w:pPr>
          <w:r>
            <w:rPr>
              <w:rFonts w:hint="eastAsia" w:ascii="仿宋" w:hAnsi="仿宋" w:eastAsia="仿宋" w:cs="仿宋"/>
              <w:b/>
              <w:bCs/>
              <w:sz w:val="36"/>
              <w:szCs w:val="36"/>
            </w:rPr>
            <w:t>目</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录</w:t>
          </w:r>
        </w:p>
        <w:p>
          <w:pPr>
            <w:pStyle w:val="8"/>
            <w:tabs>
              <w:tab w:val="right" w:leader="dot" w:pos="8306"/>
            </w:tabs>
            <w:rPr>
              <w:rFonts w:hint="eastAsia" w:ascii="仿宋" w:hAnsi="仿宋" w:eastAsia="仿宋" w:cs="仿宋"/>
              <w:sz w:val="28"/>
              <w:szCs w:val="28"/>
            </w:rPr>
          </w:pPr>
          <w:r>
            <w:rPr>
              <w:rFonts w:hint="eastAsia" w:ascii="仿宋" w:hAnsi="仿宋" w:eastAsia="仿宋" w:cs="仿宋"/>
              <w:b/>
              <w:color w:val="auto"/>
              <w:sz w:val="24"/>
              <w:szCs w:val="24"/>
              <w:highlight w:val="none"/>
            </w:rPr>
            <w:fldChar w:fldCharType="begin"/>
          </w:r>
          <w:r>
            <w:rPr>
              <w:rFonts w:hint="eastAsia" w:ascii="仿宋" w:hAnsi="仿宋" w:eastAsia="仿宋" w:cs="仿宋"/>
              <w:b/>
              <w:color w:val="auto"/>
              <w:sz w:val="24"/>
              <w:szCs w:val="24"/>
              <w:highlight w:val="none"/>
            </w:rPr>
            <w:instrText xml:space="preserve">TOC \o "1-2" \h \u </w:instrText>
          </w:r>
          <w:r>
            <w:rPr>
              <w:rFonts w:hint="eastAsia" w:ascii="仿宋" w:hAnsi="仿宋" w:eastAsia="仿宋" w:cs="仿宋"/>
              <w:b/>
              <w:color w:val="auto"/>
              <w:sz w:val="24"/>
              <w:szCs w:val="24"/>
              <w:highlight w:val="none"/>
            </w:rPr>
            <w:fldChar w:fldCharType="separate"/>
          </w: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_Toc25557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1、项目概述</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_Toc25557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_Toc11824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1.1项目基本情况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_Toc11824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_Toc18829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1.2项目实施情况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_Toc18829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8"/>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_Toc27103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2、绩效评价工作情况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_Toc27103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_Toc19610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2.1绩效评价目的</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_Toc19610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_Toc18563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2.2绩效评价工作方案制定过程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_Toc18563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_Toc23276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2.3绩效评价原则、评价方法、评价依据等</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_Toc23276 \h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8"/>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_Toc31225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3、具体绩效分析</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_Toc31225 \h </w:instrText>
          </w:r>
          <w:r>
            <w:rPr>
              <w:rFonts w:hint="eastAsia" w:ascii="仿宋" w:hAnsi="仿宋" w:eastAsia="仿宋" w:cs="仿宋"/>
              <w:sz w:val="28"/>
              <w:szCs w:val="28"/>
            </w:rPr>
            <w:fldChar w:fldCharType="separate"/>
          </w:r>
          <w:r>
            <w:rPr>
              <w:rFonts w:hint="eastAsia" w:ascii="仿宋" w:hAnsi="仿宋" w:eastAsia="仿宋" w:cs="仿宋"/>
              <w:sz w:val="28"/>
              <w:szCs w:val="28"/>
            </w:rPr>
            <w:t>8</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_Toc8167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3.1项目决策性指标类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_Toc8167 \h </w:instrText>
          </w:r>
          <w:r>
            <w:rPr>
              <w:rFonts w:hint="eastAsia" w:ascii="仿宋" w:hAnsi="仿宋" w:eastAsia="仿宋" w:cs="仿宋"/>
              <w:sz w:val="28"/>
              <w:szCs w:val="28"/>
            </w:rPr>
            <w:fldChar w:fldCharType="separate"/>
          </w:r>
          <w:r>
            <w:rPr>
              <w:rFonts w:hint="eastAsia" w:ascii="仿宋" w:hAnsi="仿宋" w:eastAsia="仿宋" w:cs="仿宋"/>
              <w:sz w:val="28"/>
              <w:szCs w:val="28"/>
            </w:rPr>
            <w:t>8</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_Toc21260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3.2项目管理性指标类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_Toc21260 \h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_Toc65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3.3项目产出性指标类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_Toc65 \h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_Toc17510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3.4项目效果性指标类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_Toc17510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8"/>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_Toc30108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4、绩效评价结果</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_Toc30108 \h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8"/>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_Toc1593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5、存在的问题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_Toc1593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_Toc20499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5.1预算绩效管理工作方面存在不足</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_Toc20499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_Toc1569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lang w:val="en-US" w:eastAsia="zh-CN"/>
            </w:rPr>
            <w:t>5.2预算编制和执行缺乏准确性</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_Toc1569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8"/>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_Toc21783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6、改进措施和建议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_Toc21783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_Toc20737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6.1</w:t>
          </w:r>
          <w:r>
            <w:rPr>
              <w:rFonts w:hint="eastAsia" w:ascii="仿宋" w:hAnsi="仿宋" w:eastAsia="仿宋" w:cs="仿宋"/>
              <w:sz w:val="28"/>
              <w:szCs w:val="28"/>
              <w:highlight w:val="none"/>
              <w:lang w:val="en-US" w:eastAsia="zh-CN"/>
            </w:rPr>
            <w:t>加强预算绩效监管力度</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_Toc20737 \h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9"/>
            <w:tabs>
              <w:tab w:val="right" w:leader="dot" w:pos="8306"/>
            </w:tabs>
            <w:rPr>
              <w:rFonts w:hint="eastAsia" w:ascii="仿宋" w:hAnsi="仿宋" w:eastAsia="仿宋" w:cs="仿宋"/>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_Toc11856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6.</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建立项目个性业务绩效指标和标准体系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_Toc11856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pStyle w:val="8"/>
            <w:tabs>
              <w:tab w:val="right" w:leader="dot" w:pos="8306"/>
            </w:tabs>
            <w:rPr>
              <w:rFonts w:hint="eastAsia" w:ascii="仿宋" w:hAnsi="仿宋" w:eastAsia="仿宋" w:cs="仿宋"/>
              <w:sz w:val="24"/>
              <w:szCs w:val="24"/>
            </w:rPr>
          </w:pPr>
          <w:r>
            <w:rPr>
              <w:rFonts w:hint="eastAsia" w:ascii="仿宋" w:hAnsi="仿宋" w:eastAsia="仿宋" w:cs="仿宋"/>
              <w:color w:val="auto"/>
              <w:sz w:val="28"/>
              <w:szCs w:val="28"/>
              <w:highlight w:val="none"/>
            </w:rPr>
            <w:fldChar w:fldCharType="begin"/>
          </w:r>
          <w:r>
            <w:rPr>
              <w:rFonts w:hint="eastAsia" w:ascii="仿宋" w:hAnsi="仿宋" w:eastAsia="仿宋" w:cs="仿宋"/>
              <w:sz w:val="28"/>
              <w:szCs w:val="28"/>
              <w:highlight w:val="none"/>
            </w:rPr>
            <w:instrText xml:space="preserve"> HYPERLINK \l _Toc16624 </w:instrText>
          </w:r>
          <w:r>
            <w:rPr>
              <w:rFonts w:hint="eastAsia" w:ascii="仿宋" w:hAnsi="仿宋" w:eastAsia="仿宋" w:cs="仿宋"/>
              <w:sz w:val="28"/>
              <w:szCs w:val="28"/>
              <w:highlight w:val="none"/>
            </w:rPr>
            <w:fldChar w:fldCharType="separate"/>
          </w:r>
          <w:r>
            <w:rPr>
              <w:rFonts w:hint="eastAsia" w:ascii="仿宋" w:hAnsi="仿宋" w:eastAsia="仿宋" w:cs="仿宋"/>
              <w:sz w:val="28"/>
              <w:szCs w:val="28"/>
              <w:highlight w:val="none"/>
            </w:rPr>
            <w:t>7、其他事项说明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_Toc16624 \h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color w:val="auto"/>
              <w:sz w:val="28"/>
              <w:szCs w:val="28"/>
              <w:highlight w:val="none"/>
            </w:rPr>
            <w:fldChar w:fldCharType="end"/>
          </w:r>
        </w:p>
        <w:p>
          <w:pPr>
            <w:spacing w:line="560" w:lineRule="exact"/>
            <w:rPr>
              <w:rFonts w:hint="eastAsia" w:asciiTheme="majorEastAsia" w:hAnsiTheme="majorEastAsia" w:eastAsiaTheme="majorEastAsia"/>
              <w:b/>
              <w:color w:val="auto"/>
              <w:sz w:val="44"/>
              <w:szCs w:val="44"/>
              <w:highlight w:val="none"/>
            </w:rPr>
            <w:sectPr>
              <w:footerReference r:id="rId5" w:type="default"/>
              <w:pgSz w:w="11906" w:h="16838"/>
              <w:pgMar w:top="1440" w:right="1474" w:bottom="1440" w:left="1474" w:header="851" w:footer="992" w:gutter="0"/>
              <w:pgNumType w:start="1"/>
              <w:cols w:space="0" w:num="1"/>
              <w:titlePg/>
              <w:rtlGutter w:val="0"/>
              <w:docGrid w:type="lines" w:linePitch="312" w:charSpace="0"/>
            </w:sectPr>
          </w:pPr>
          <w:r>
            <w:rPr>
              <w:rFonts w:hint="eastAsia" w:ascii="仿宋" w:hAnsi="仿宋" w:eastAsia="仿宋" w:cs="仿宋"/>
              <w:color w:val="auto"/>
              <w:sz w:val="24"/>
              <w:szCs w:val="24"/>
              <w:highlight w:val="none"/>
            </w:rPr>
            <w:fldChar w:fldCharType="end"/>
          </w:r>
        </w:p>
      </w:sdtContent>
    </w:sdt>
    <w:p>
      <w:pPr>
        <w:bidi w:val="0"/>
        <w:jc w:val="center"/>
        <w:rPr>
          <w:rFonts w:hint="eastAsia" w:ascii="宋体" w:hAnsi="宋体" w:eastAsia="宋体" w:cs="宋体"/>
          <w:b/>
          <w:bCs/>
          <w:sz w:val="44"/>
          <w:szCs w:val="44"/>
        </w:rPr>
      </w:pPr>
      <w:r>
        <w:rPr>
          <w:rFonts w:hint="eastAsia" w:ascii="宋体" w:hAnsi="宋体" w:eastAsia="宋体" w:cs="宋体"/>
          <w:b/>
          <w:bCs/>
          <w:sz w:val="44"/>
          <w:szCs w:val="44"/>
        </w:rPr>
        <w:t>赣州蓉江新区</w:t>
      </w:r>
      <w:r>
        <w:rPr>
          <w:rFonts w:hint="eastAsia" w:ascii="宋体" w:hAnsi="宋体" w:eastAsia="宋体" w:cs="宋体"/>
          <w:b/>
          <w:bCs/>
          <w:sz w:val="44"/>
          <w:szCs w:val="44"/>
          <w:lang w:val="en-US" w:eastAsia="zh-CN"/>
        </w:rPr>
        <w:t>农业农村工作办公室</w:t>
      </w:r>
      <w:r>
        <w:rPr>
          <w:rFonts w:hint="eastAsia" w:ascii="宋体" w:hAnsi="宋体" w:eastAsia="宋体" w:cs="宋体"/>
          <w:b/>
          <w:bCs/>
          <w:sz w:val="44"/>
          <w:szCs w:val="44"/>
        </w:rPr>
        <w:t>202</w:t>
      </w:r>
      <w:r>
        <w:rPr>
          <w:rFonts w:hint="eastAsia" w:ascii="宋体" w:hAnsi="宋体" w:eastAsia="宋体" w:cs="宋体"/>
          <w:b/>
          <w:bCs/>
          <w:sz w:val="44"/>
          <w:szCs w:val="44"/>
          <w:lang w:val="en-US" w:eastAsia="zh-CN"/>
        </w:rPr>
        <w:t>2</w:t>
      </w:r>
      <w:r>
        <w:rPr>
          <w:rFonts w:hint="eastAsia" w:ascii="宋体" w:hAnsi="宋体" w:eastAsia="宋体" w:cs="宋体"/>
          <w:b/>
          <w:bCs/>
          <w:sz w:val="44"/>
          <w:szCs w:val="44"/>
        </w:rPr>
        <w:t>年</w:t>
      </w:r>
      <w:r>
        <w:rPr>
          <w:rFonts w:hint="eastAsia" w:ascii="宋体" w:hAnsi="宋体" w:eastAsia="宋体" w:cs="宋体"/>
          <w:b/>
          <w:bCs/>
          <w:sz w:val="44"/>
          <w:szCs w:val="44"/>
          <w:lang w:val="en-US" w:eastAsia="zh-CN"/>
        </w:rPr>
        <w:t>精准防贫保险</w:t>
      </w:r>
      <w:r>
        <w:rPr>
          <w:rFonts w:hint="eastAsia" w:ascii="宋体" w:hAnsi="宋体" w:eastAsia="宋体" w:cs="宋体"/>
          <w:b/>
          <w:bCs/>
          <w:sz w:val="44"/>
          <w:szCs w:val="44"/>
        </w:rPr>
        <w:t>项目支出绩效评价报告</w:t>
      </w:r>
    </w:p>
    <w:p>
      <w:pPr>
        <w:jc w:val="center"/>
        <w:rPr>
          <w:rFonts w:ascii="仿宋" w:hAnsi="仿宋" w:eastAsia="仿宋"/>
          <w:b/>
          <w:color w:val="auto"/>
          <w:sz w:val="32"/>
          <w:szCs w:val="32"/>
          <w:highlight w:val="none"/>
        </w:rPr>
      </w:pPr>
      <w:r>
        <w:rPr>
          <w:rFonts w:hint="eastAsia" w:cs="仿宋" w:asciiTheme="majorEastAsia" w:hAnsiTheme="majorEastAsia" w:eastAsiaTheme="majorEastAsia"/>
          <w:sz w:val="28"/>
          <w:szCs w:val="28"/>
          <w:highlight w:val="none"/>
          <w:u w:val="none"/>
        </w:rPr>
        <w:t>国众联咨报字﹝</w:t>
      </w:r>
      <w:r>
        <w:rPr>
          <w:rFonts w:hint="eastAsia" w:cs="仿宋" w:asciiTheme="majorEastAsia" w:hAnsiTheme="majorEastAsia" w:eastAsiaTheme="majorEastAsia"/>
          <w:sz w:val="28"/>
          <w:szCs w:val="28"/>
          <w:highlight w:val="none"/>
          <w:u w:val="none"/>
          <w:lang w:val="en-US" w:eastAsia="zh-CN"/>
        </w:rPr>
        <w:t>2024</w:t>
      </w:r>
      <w:r>
        <w:rPr>
          <w:rFonts w:hint="eastAsia" w:cs="仿宋" w:asciiTheme="majorEastAsia" w:hAnsiTheme="majorEastAsia" w:eastAsiaTheme="majorEastAsia"/>
          <w:sz w:val="28"/>
          <w:szCs w:val="28"/>
          <w:highlight w:val="none"/>
          <w:u w:val="none"/>
        </w:rPr>
        <w:t>﹞第</w:t>
      </w:r>
      <w:r>
        <w:rPr>
          <w:rFonts w:hint="eastAsia" w:cs="仿宋" w:asciiTheme="majorEastAsia" w:hAnsiTheme="majorEastAsia" w:eastAsiaTheme="majorEastAsia"/>
          <w:color w:val="auto"/>
          <w:sz w:val="28"/>
          <w:szCs w:val="28"/>
          <w:highlight w:val="none"/>
          <w:u w:val="none"/>
        </w:rPr>
        <w:t>5-</w:t>
      </w:r>
      <w:r>
        <w:rPr>
          <w:rFonts w:hint="eastAsia" w:cs="仿宋" w:asciiTheme="majorEastAsia" w:hAnsiTheme="majorEastAsia" w:eastAsiaTheme="majorEastAsia"/>
          <w:color w:val="auto"/>
          <w:sz w:val="28"/>
          <w:szCs w:val="28"/>
          <w:highlight w:val="none"/>
          <w:u w:val="none"/>
          <w:lang w:val="en-US" w:eastAsia="zh-CN"/>
        </w:rPr>
        <w:t>0035</w:t>
      </w:r>
      <w:r>
        <w:rPr>
          <w:rFonts w:hint="eastAsia" w:cs="仿宋" w:asciiTheme="majorEastAsia" w:hAnsiTheme="majorEastAsia" w:eastAsiaTheme="majorEastAsia"/>
          <w:sz w:val="28"/>
          <w:szCs w:val="28"/>
          <w:highlight w:val="none"/>
          <w:u w:val="none"/>
        </w:rPr>
        <w:t>号</w:t>
      </w:r>
    </w:p>
    <w:p>
      <w:pPr>
        <w:rPr>
          <w:rFonts w:ascii="仿宋" w:hAnsi="仿宋" w:eastAsia="仿宋"/>
          <w:b/>
          <w:color w:val="auto"/>
          <w:sz w:val="32"/>
          <w:szCs w:val="32"/>
          <w:highlight w:val="none"/>
        </w:rPr>
      </w:pPr>
      <w:r>
        <w:rPr>
          <w:rFonts w:hint="eastAsia" w:ascii="仿宋" w:hAnsi="仿宋" w:eastAsia="仿宋"/>
          <w:b/>
          <w:color w:val="auto"/>
          <w:sz w:val="32"/>
          <w:szCs w:val="32"/>
          <w:highlight w:val="none"/>
        </w:rPr>
        <w:t>赣州蓉江新区财政局：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w:t>
      </w:r>
      <w:r>
        <w:rPr>
          <w:rFonts w:hint="eastAsia" w:ascii="仿宋" w:hAnsi="仿宋" w:eastAsia="仿宋"/>
          <w:color w:val="auto"/>
          <w:sz w:val="32"/>
          <w:szCs w:val="32"/>
          <w:highlight w:val="none"/>
          <w:lang w:eastAsia="zh-CN"/>
        </w:rPr>
        <w:t>国众联资产评估土地房地产估价有限公司</w:t>
      </w:r>
      <w:r>
        <w:rPr>
          <w:rFonts w:hint="eastAsia" w:ascii="仿宋" w:hAnsi="仿宋" w:eastAsia="仿宋"/>
          <w:color w:val="auto"/>
          <w:sz w:val="32"/>
          <w:szCs w:val="32"/>
          <w:highlight w:val="none"/>
        </w:rPr>
        <w:t>以第三方社会机构的身份，承担了赣州蓉江新区</w:t>
      </w:r>
      <w:r>
        <w:rPr>
          <w:rFonts w:hint="eastAsia" w:ascii="仿宋" w:hAnsi="仿宋" w:eastAsia="仿宋"/>
          <w:color w:val="auto"/>
          <w:sz w:val="32"/>
          <w:szCs w:val="32"/>
          <w:highlight w:val="none"/>
          <w:lang w:val="en-US" w:eastAsia="zh-CN"/>
        </w:rPr>
        <w:t>农业农村工作办公室</w:t>
      </w:r>
      <w:r>
        <w:rPr>
          <w:rFonts w:hint="eastAsia" w:ascii="仿宋" w:hAnsi="仿宋" w:eastAsia="仿宋"/>
          <w:color w:val="auto"/>
          <w:sz w:val="32"/>
          <w:szCs w:val="32"/>
          <w:highlight w:val="none"/>
          <w:lang w:eastAsia="zh-CN"/>
        </w:rPr>
        <w:t>2022年精准防贫保险项目</w:t>
      </w:r>
      <w:r>
        <w:rPr>
          <w:rFonts w:hint="eastAsia" w:ascii="仿宋" w:hAnsi="仿宋" w:eastAsia="仿宋"/>
          <w:color w:val="auto"/>
          <w:sz w:val="32"/>
          <w:szCs w:val="32"/>
          <w:highlight w:val="none"/>
        </w:rPr>
        <w:t>（以下简称“项目”或“该项目”）的绩效评价工作。本次绩效评价工作严格依照相关法律法规的规定，遵循“独立、客观、公正、科学”的原则进行。</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国众联资产评估土地房地产估价有限公司</w:t>
      </w:r>
      <w:r>
        <w:rPr>
          <w:rFonts w:hint="eastAsia" w:ascii="仿宋" w:hAnsi="仿宋" w:eastAsia="仿宋"/>
          <w:color w:val="auto"/>
          <w:sz w:val="32"/>
          <w:szCs w:val="32"/>
          <w:highlight w:val="none"/>
        </w:rPr>
        <w:t>接受委托任务后于202</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年1月开始，抽调精干人员力量组成绩效评价组，精心制定绩效评价方案，通过访谈、查阅文件文献、问卷调查、现场调研等方式，充分了解和掌握了评价对象的相关情况后，按照绩效评价指标体系，对项目取得的成效与经验、项目存在的问题进行归纳总结，并提出相关建议，得出评价结果。</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绩效评价组以绩效评价指标体系要求为基础进行资料收集，收集了项目实施过程中的各项资料，对项目实施单位相关负责人进行访谈、开展项目的满意度调查工作等，在此基础上形成《赣州蓉江新区</w:t>
      </w:r>
      <w:r>
        <w:rPr>
          <w:rFonts w:hint="eastAsia" w:ascii="仿宋" w:hAnsi="仿宋" w:eastAsia="仿宋"/>
          <w:color w:val="auto"/>
          <w:sz w:val="32"/>
          <w:szCs w:val="32"/>
          <w:highlight w:val="none"/>
          <w:lang w:val="en-US" w:eastAsia="zh-CN"/>
        </w:rPr>
        <w:t>农业农村工作办公室</w:t>
      </w:r>
      <w:r>
        <w:rPr>
          <w:rFonts w:hint="eastAsia" w:ascii="仿宋" w:hAnsi="仿宋" w:eastAsia="仿宋"/>
          <w:color w:val="auto"/>
          <w:sz w:val="32"/>
          <w:szCs w:val="32"/>
          <w:highlight w:val="none"/>
          <w:lang w:eastAsia="zh-CN"/>
        </w:rPr>
        <w:t>2022年精准防贫保险项目</w:t>
      </w:r>
      <w:r>
        <w:rPr>
          <w:rFonts w:hint="eastAsia" w:ascii="仿宋" w:hAnsi="仿宋" w:eastAsia="仿宋"/>
          <w:color w:val="auto"/>
          <w:sz w:val="32"/>
          <w:szCs w:val="32"/>
          <w:highlight w:val="none"/>
        </w:rPr>
        <w:t>支出绩效评价报告》。</w:t>
      </w:r>
    </w:p>
    <w:p>
      <w:pPr>
        <w:outlineLvl w:val="0"/>
        <w:rPr>
          <w:rFonts w:ascii="仿宋" w:hAnsi="仿宋" w:eastAsia="仿宋"/>
          <w:b/>
          <w:color w:val="auto"/>
          <w:sz w:val="32"/>
          <w:szCs w:val="32"/>
          <w:highlight w:val="none"/>
        </w:rPr>
      </w:pPr>
      <w:bookmarkStart w:id="5" w:name="_Toc25557"/>
      <w:r>
        <w:rPr>
          <w:rFonts w:hint="eastAsia" w:ascii="仿宋" w:hAnsi="仿宋" w:eastAsia="仿宋"/>
          <w:b/>
          <w:color w:val="auto"/>
          <w:sz w:val="32"/>
          <w:szCs w:val="32"/>
          <w:highlight w:val="none"/>
        </w:rPr>
        <w:t>1、项目概述</w:t>
      </w:r>
      <w:bookmarkEnd w:id="5"/>
    </w:p>
    <w:p>
      <w:pPr>
        <w:ind w:firstLine="482" w:firstLineChars="150"/>
        <w:outlineLvl w:val="2"/>
        <w:rPr>
          <w:rFonts w:ascii="仿宋" w:hAnsi="仿宋" w:eastAsia="仿宋"/>
          <w:b/>
          <w:color w:val="auto"/>
          <w:sz w:val="32"/>
          <w:szCs w:val="32"/>
          <w:highlight w:val="none"/>
        </w:rPr>
      </w:pPr>
      <w:bookmarkStart w:id="6" w:name="_Toc11824"/>
      <w:r>
        <w:rPr>
          <w:rFonts w:hint="eastAsia" w:ascii="仿宋" w:hAnsi="仿宋" w:eastAsia="仿宋"/>
          <w:b/>
          <w:color w:val="auto"/>
          <w:sz w:val="32"/>
          <w:szCs w:val="32"/>
          <w:highlight w:val="none"/>
        </w:rPr>
        <w:t>1.1.3项目实施主体</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该项目实施主体为</w:t>
      </w:r>
      <w:r>
        <w:rPr>
          <w:rFonts w:hint="eastAsia" w:ascii="仿宋" w:hAnsi="仿宋" w:eastAsia="仿宋"/>
          <w:color w:val="auto"/>
          <w:sz w:val="32"/>
          <w:szCs w:val="32"/>
          <w:highlight w:val="none"/>
          <w:lang w:eastAsia="zh-CN"/>
        </w:rPr>
        <w:t>赣州蓉江新区农业农村工作办公室</w:t>
      </w:r>
      <w:r>
        <w:rPr>
          <w:rFonts w:hint="eastAsia" w:ascii="仿宋" w:hAnsi="仿宋" w:eastAsia="仿宋"/>
          <w:color w:val="auto"/>
          <w:sz w:val="32"/>
          <w:szCs w:val="32"/>
          <w:highlight w:val="none"/>
        </w:rPr>
        <w:t>，以下简称“区农办”。</w:t>
      </w:r>
    </w:p>
    <w:p>
      <w:pPr>
        <w:ind w:firstLine="482" w:firstLineChars="150"/>
        <w:outlineLvl w:val="1"/>
        <w:rPr>
          <w:rFonts w:ascii="仿宋" w:hAnsi="仿宋" w:eastAsia="仿宋"/>
          <w:b/>
          <w:color w:val="auto"/>
          <w:sz w:val="32"/>
          <w:szCs w:val="32"/>
          <w:highlight w:val="none"/>
        </w:rPr>
      </w:pPr>
      <w:r>
        <w:rPr>
          <w:rFonts w:hint="eastAsia" w:ascii="仿宋" w:hAnsi="仿宋" w:eastAsia="仿宋"/>
          <w:b/>
          <w:color w:val="auto"/>
          <w:sz w:val="32"/>
          <w:szCs w:val="32"/>
          <w:highlight w:val="none"/>
        </w:rPr>
        <w:t>1.1项目基本情况</w:t>
      </w:r>
      <w:bookmarkEnd w:id="6"/>
    </w:p>
    <w:p>
      <w:pPr>
        <w:ind w:firstLine="482" w:firstLineChars="15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1.1.1项目主要内容</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both"/>
        <w:textAlignment w:val="auto"/>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eastAsia="zh-CN"/>
        </w:rPr>
        <w:t>赣州蓉江新区农业农村工作办公室2022年精准防贫保险项目</w:t>
      </w:r>
      <w:r>
        <w:rPr>
          <w:rFonts w:hint="eastAsia" w:ascii="仿宋" w:hAnsi="仿宋" w:eastAsia="仿宋"/>
          <w:color w:val="auto"/>
          <w:sz w:val="32"/>
          <w:szCs w:val="32"/>
          <w:highlight w:val="none"/>
        </w:rPr>
        <w:t>主要内容为</w:t>
      </w:r>
      <w:r>
        <w:rPr>
          <w:rFonts w:hint="eastAsia" w:ascii="仿宋" w:hAnsi="仿宋" w:eastAsia="仿宋"/>
          <w:color w:val="auto"/>
          <w:sz w:val="32"/>
          <w:szCs w:val="32"/>
          <w:highlight w:val="none"/>
          <w:lang w:val="en-US" w:eastAsia="zh-CN"/>
        </w:rPr>
        <w:t>因病、因学、因灾（含意外事故）、因赔偿责任、因生产资料损失等五大因素导致存在致贫返贫风险的农村户籍人口，提供每人最高30万元的防贫保障金额。通过招投标方式，由中国人民财产保险股份有限公司赣州市分</w:t>
      </w:r>
      <w:r>
        <w:rPr>
          <w:rFonts w:hint="default" w:ascii="仿宋" w:hAnsi="仿宋" w:eastAsia="仿宋"/>
          <w:color w:val="auto"/>
          <w:sz w:val="32"/>
          <w:szCs w:val="32"/>
          <w:highlight w:val="none"/>
          <w:lang w:val="en-US" w:eastAsia="zh-CN"/>
        </w:rPr>
        <w:t>公司</w:t>
      </w:r>
      <w:r>
        <w:rPr>
          <w:rFonts w:hint="eastAsia" w:ascii="仿宋" w:hAnsi="仿宋" w:eastAsia="仿宋"/>
          <w:color w:val="auto"/>
          <w:sz w:val="32"/>
          <w:szCs w:val="32"/>
          <w:highlight w:val="none"/>
          <w:lang w:val="en-US" w:eastAsia="zh-CN"/>
        </w:rPr>
        <w:t>承保。</w:t>
      </w:r>
    </w:p>
    <w:p>
      <w:pPr>
        <w:ind w:firstLine="482" w:firstLineChars="15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1.1.2项目预算及资金来源</w:t>
      </w:r>
    </w:p>
    <w:p>
      <w:pPr>
        <w:ind w:firstLine="640" w:firstLineChars="200"/>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项目依据《2022年人保财险赣州市分公司精准防返贫保险方案》（赣市巩字办〔2022〕7号）文件精神，保费标准按120元/人，采购全区2022年度精准防贫保险，投保人数5000人，经费拨款60万元。</w:t>
      </w:r>
    </w:p>
    <w:p>
      <w:pPr>
        <w:ind w:firstLine="482" w:firstLineChars="15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1.1.4项目绩效目标</w:t>
      </w:r>
    </w:p>
    <w:p>
      <w:pPr>
        <w:ind w:firstLine="640" w:firstLineChars="200"/>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经济成本指标</w:t>
      </w:r>
      <w:r>
        <w:rPr>
          <w:rFonts w:hint="eastAsia" w:ascii="仿宋" w:hAnsi="仿宋" w:eastAsia="仿宋"/>
          <w:color w:val="auto"/>
          <w:sz w:val="32"/>
          <w:szCs w:val="32"/>
          <w:highlight w:val="none"/>
          <w:lang w:eastAsia="zh-CN"/>
        </w:rPr>
        <w:t>——参保人均保费：</w:t>
      </w:r>
      <w:r>
        <w:rPr>
          <w:rFonts w:hint="eastAsia" w:ascii="仿宋" w:hAnsi="仿宋" w:eastAsia="仿宋"/>
          <w:color w:val="auto"/>
          <w:sz w:val="32"/>
          <w:szCs w:val="32"/>
          <w:highlight w:val="none"/>
          <w:lang w:val="en-US" w:eastAsia="zh-CN"/>
        </w:rPr>
        <w:t>120元；</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数量指标</w:t>
      </w:r>
      <w:r>
        <w:rPr>
          <w:rFonts w:hint="eastAsia" w:ascii="仿宋" w:hAnsi="仿宋" w:eastAsia="仿宋" w:cs="仿宋"/>
          <w:color w:val="auto"/>
          <w:sz w:val="32"/>
          <w:szCs w:val="32"/>
          <w:highlight w:val="none"/>
          <w:lang w:eastAsia="zh-CN"/>
        </w:rPr>
        <w:t>——参保人数≥5000人、框定防贫保险人数比率</w:t>
      </w:r>
      <w:r>
        <w:rPr>
          <w:rFonts w:hint="eastAsia" w:ascii="仿宋" w:hAnsi="仿宋" w:eastAsia="仿宋" w:cs="仿宋"/>
          <w:color w:val="auto"/>
          <w:sz w:val="32"/>
          <w:szCs w:val="32"/>
          <w:highlight w:val="none"/>
          <w:lang w:val="en-US" w:eastAsia="zh-CN"/>
        </w:rPr>
        <w:t>10%；</w:t>
      </w:r>
    </w:p>
    <w:p>
      <w:pPr>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质量指标</w:t>
      </w:r>
      <w:r>
        <w:rPr>
          <w:rFonts w:hint="eastAsia" w:ascii="仿宋" w:hAnsi="仿宋" w:eastAsia="仿宋" w:cs="仿宋"/>
          <w:color w:val="auto"/>
          <w:sz w:val="32"/>
          <w:szCs w:val="32"/>
          <w:highlight w:val="none"/>
          <w:lang w:eastAsia="zh-CN"/>
        </w:rPr>
        <w:t>——保险赔付对象准确率100%、对符合条件的申报农户赔付：应赔尽赔；</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时效指标——农户提出申请、递交相关佐证材料到完成赔付时限：30日内；</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社会效益指标</w:t>
      </w:r>
      <w:r>
        <w:rPr>
          <w:rFonts w:hint="eastAsia" w:ascii="仿宋" w:hAnsi="仿宋" w:eastAsia="仿宋" w:cs="仿宋"/>
          <w:color w:val="auto"/>
          <w:sz w:val="32"/>
          <w:szCs w:val="32"/>
          <w:highlight w:val="none"/>
          <w:lang w:eastAsia="zh-CN"/>
        </w:rPr>
        <w:t>——防止出现规模性返贫：</w:t>
      </w:r>
      <w:r>
        <w:rPr>
          <w:rFonts w:hint="eastAsia" w:ascii="仿宋" w:hAnsi="仿宋" w:eastAsia="仿宋" w:cs="仿宋"/>
          <w:color w:val="auto"/>
          <w:sz w:val="32"/>
          <w:szCs w:val="32"/>
          <w:highlight w:val="none"/>
          <w:lang w:val="en-US" w:eastAsia="zh-CN"/>
        </w:rPr>
        <w:t>无；</w:t>
      </w:r>
    </w:p>
    <w:p>
      <w:pPr>
        <w:ind w:firstLine="640" w:firstLineChars="200"/>
        <w:rPr>
          <w:rFonts w:ascii="仿宋" w:hAnsi="仿宋" w:eastAsia="仿宋"/>
          <w:b/>
          <w:color w:val="auto"/>
          <w:sz w:val="32"/>
          <w:szCs w:val="32"/>
          <w:highlight w:val="none"/>
        </w:rPr>
      </w:pPr>
      <w:r>
        <w:rPr>
          <w:rFonts w:hint="eastAsia" w:ascii="仿宋" w:hAnsi="仿宋" w:eastAsia="仿宋" w:cs="仿宋"/>
          <w:color w:val="auto"/>
          <w:sz w:val="32"/>
          <w:szCs w:val="32"/>
          <w:highlight w:val="none"/>
        </w:rPr>
        <w:t>服务对象满意度</w:t>
      </w:r>
      <w:r>
        <w:rPr>
          <w:rFonts w:hint="eastAsia" w:ascii="仿宋" w:hAnsi="仿宋" w:eastAsia="仿宋" w:cs="仿宋"/>
          <w:color w:val="auto"/>
          <w:sz w:val="32"/>
          <w:szCs w:val="32"/>
          <w:highlight w:val="none"/>
          <w:lang w:eastAsia="zh-CN"/>
        </w:rPr>
        <w:t>——赔付农户满意度：≥90%</w:t>
      </w:r>
      <w:r>
        <w:rPr>
          <w:rFonts w:hint="eastAsia" w:ascii="仿宋" w:hAnsi="仿宋" w:eastAsia="仿宋" w:cs="仿宋"/>
          <w:color w:val="auto"/>
          <w:sz w:val="32"/>
          <w:szCs w:val="32"/>
          <w:highlight w:val="none"/>
        </w:rPr>
        <w:t>。</w:t>
      </w:r>
    </w:p>
    <w:p>
      <w:pPr>
        <w:ind w:firstLine="321" w:firstLineChars="100"/>
        <w:outlineLvl w:val="1"/>
        <w:rPr>
          <w:rFonts w:ascii="仿宋" w:hAnsi="仿宋" w:eastAsia="仿宋"/>
          <w:b/>
          <w:color w:val="auto"/>
          <w:sz w:val="32"/>
          <w:szCs w:val="32"/>
          <w:highlight w:val="none"/>
        </w:rPr>
      </w:pPr>
      <w:bookmarkStart w:id="7" w:name="_Toc18829"/>
      <w:r>
        <w:rPr>
          <w:rFonts w:hint="eastAsia" w:ascii="仿宋" w:hAnsi="仿宋" w:eastAsia="仿宋"/>
          <w:b/>
          <w:color w:val="auto"/>
          <w:sz w:val="32"/>
          <w:szCs w:val="32"/>
          <w:highlight w:val="none"/>
        </w:rPr>
        <w:t>1.2项目实施情况</w:t>
      </w:r>
      <w:bookmarkEnd w:id="7"/>
    </w:p>
    <w:p>
      <w:pPr>
        <w:ind w:firstLine="321" w:firstLineChars="10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1.2.1实际实施起止时间</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2022年1月1日至2022年12月31日。</w:t>
      </w:r>
    </w:p>
    <w:p>
      <w:pPr>
        <w:ind w:firstLine="321" w:firstLineChars="10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1.2.2具体实施流程</w:t>
      </w:r>
    </w:p>
    <w:p>
      <w:pPr>
        <w:numPr>
          <w:ilvl w:val="0"/>
          <w:numId w:val="1"/>
        </w:numPr>
        <w:ind w:left="0" w:leftChars="0" w:firstLine="640" w:firstLineChars="200"/>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村镇申报。由防贫保险对象向所在村（居）委会提出申请，经过所在村（居）委会初审，报所在镇（管理处）复核，再统一交至区乡村振兴局审定，经审定后由乡村振兴局向保险公司申请赔付防贫保险金。</w:t>
      </w:r>
    </w:p>
    <w:p>
      <w:pPr>
        <w:numPr>
          <w:ilvl w:val="0"/>
          <w:numId w:val="1"/>
        </w:numPr>
        <w:ind w:left="0" w:leftChars="0" w:firstLine="640" w:firstLineChars="200"/>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案件查勘。保险公司在接到区乡村振兴局的保险申请后，在3天内开展案件查勘工作，并于区内3个工作日、区外7个工作日内完成核查工作，并出具核查报告。如遇特殊情况可适当延长核查时间，做到每单必查。对属于保险责任内的，在所在村（居）委会进行3天公示，并将公示材料及核查报告一并反馈至区乡村振兴局备案。</w:t>
      </w:r>
    </w:p>
    <w:p>
      <w:pPr>
        <w:numPr>
          <w:ilvl w:val="0"/>
          <w:numId w:val="1"/>
        </w:numPr>
        <w:ind w:left="0" w:leftChars="0" w:firstLine="640" w:firstLineChars="200"/>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资金赔付。核查属实后，保险公司应及时将防贫保险赔付金转账至防贫保险对象所提供的银行账户上，应在核查结束后3个工作日内给予支付，如遇特殊情况可适当延长时间，但最长不超过7个工作日。</w:t>
      </w:r>
    </w:p>
    <w:p>
      <w:pPr>
        <w:ind w:firstLine="321" w:firstLineChars="10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1.2.3资金落实及支出情况</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both"/>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赣州蓉江新区农业农村工作办公室2022年8月17日支付54万元（防贫保险费用）、2022年10月20日分别支付5万元、1万元（防贫保险费用）、2023年3月20日支付22.92万元（防贫保险超出部分费用）至中国人民财产保险股份有限公司赣州市分</w:t>
      </w:r>
      <w:r>
        <w:rPr>
          <w:rFonts w:hint="default" w:ascii="仿宋" w:hAnsi="仿宋" w:eastAsia="仿宋"/>
          <w:color w:val="auto"/>
          <w:sz w:val="32"/>
          <w:szCs w:val="32"/>
          <w:highlight w:val="none"/>
          <w:lang w:val="en-US" w:eastAsia="zh-CN"/>
        </w:rPr>
        <w:t>公司1510220109000065875</w:t>
      </w:r>
      <w:r>
        <w:rPr>
          <w:rFonts w:hint="eastAsia" w:ascii="仿宋" w:hAnsi="仿宋" w:eastAsia="仿宋"/>
          <w:color w:val="auto"/>
          <w:sz w:val="32"/>
          <w:szCs w:val="32"/>
          <w:highlight w:val="none"/>
          <w:lang w:val="en-US" w:eastAsia="zh-CN"/>
        </w:rPr>
        <w:t>工商银行赣州虔城支行，共计82.92万元。</w:t>
      </w:r>
    </w:p>
    <w:p>
      <w:pPr>
        <w:ind w:firstLine="321" w:firstLineChars="10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1.2.4制度建设及执行情况</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both"/>
        <w:textAlignment w:val="auto"/>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项目依据《赣州蓉江新区2022年精准防贫保险工作方案》（赣蓉振领办字〔2022〕16号）开展工作，按照规定的赔付标准、核查时效和支付流程等内容执行了工作。</w:t>
      </w:r>
    </w:p>
    <w:p>
      <w:pPr>
        <w:ind w:firstLine="321" w:firstLineChars="100"/>
        <w:outlineLvl w:val="0"/>
        <w:rPr>
          <w:rFonts w:ascii="仿宋" w:hAnsi="仿宋" w:eastAsia="仿宋"/>
          <w:b/>
          <w:color w:val="auto"/>
          <w:sz w:val="32"/>
          <w:szCs w:val="32"/>
          <w:highlight w:val="none"/>
        </w:rPr>
      </w:pPr>
      <w:bookmarkStart w:id="8" w:name="_Toc27103"/>
      <w:r>
        <w:rPr>
          <w:rFonts w:hint="eastAsia" w:ascii="仿宋" w:hAnsi="仿宋" w:eastAsia="仿宋"/>
          <w:b/>
          <w:color w:val="auto"/>
          <w:sz w:val="32"/>
          <w:szCs w:val="32"/>
          <w:highlight w:val="none"/>
        </w:rPr>
        <w:t>2、</w:t>
      </w:r>
      <w:r>
        <w:rPr>
          <w:rFonts w:hint="eastAsia" w:ascii="仿宋" w:hAnsi="仿宋" w:eastAsia="仿宋" w:cs="仿宋"/>
          <w:b/>
          <w:color w:val="auto"/>
          <w:sz w:val="32"/>
          <w:szCs w:val="32"/>
          <w:highlight w:val="none"/>
        </w:rPr>
        <w:t>绩效评价工作情况</w:t>
      </w:r>
      <w:bookmarkEnd w:id="8"/>
    </w:p>
    <w:p>
      <w:pPr>
        <w:ind w:firstLine="321" w:firstLineChars="100"/>
        <w:outlineLvl w:val="1"/>
        <w:rPr>
          <w:rFonts w:ascii="仿宋" w:hAnsi="仿宋" w:eastAsia="仿宋"/>
          <w:b/>
          <w:color w:val="auto"/>
          <w:sz w:val="32"/>
          <w:szCs w:val="32"/>
          <w:highlight w:val="none"/>
        </w:rPr>
      </w:pPr>
      <w:bookmarkStart w:id="9" w:name="_Toc19610"/>
      <w:r>
        <w:rPr>
          <w:rFonts w:hint="eastAsia" w:ascii="仿宋" w:hAnsi="仿宋" w:eastAsia="仿宋"/>
          <w:b/>
          <w:color w:val="auto"/>
          <w:sz w:val="32"/>
          <w:szCs w:val="32"/>
          <w:highlight w:val="none"/>
        </w:rPr>
        <w:t>2.1绩效评价目的</w:t>
      </w:r>
      <w:bookmarkEnd w:id="9"/>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通过本次绩效评价，跟踪赣州蓉江新区</w:t>
      </w:r>
      <w:r>
        <w:rPr>
          <w:rFonts w:hint="eastAsia" w:ascii="仿宋" w:hAnsi="仿宋" w:eastAsia="仿宋"/>
          <w:color w:val="auto"/>
          <w:sz w:val="32"/>
          <w:szCs w:val="32"/>
          <w:highlight w:val="none"/>
          <w:lang w:val="en-US" w:eastAsia="zh-CN"/>
        </w:rPr>
        <w:t>农业农村工作办公室</w:t>
      </w:r>
      <w:r>
        <w:rPr>
          <w:rFonts w:hint="eastAsia" w:ascii="仿宋" w:hAnsi="仿宋" w:eastAsia="仿宋"/>
          <w:color w:val="auto"/>
          <w:sz w:val="32"/>
          <w:szCs w:val="32"/>
          <w:highlight w:val="none"/>
          <w:lang w:eastAsia="zh-CN"/>
        </w:rPr>
        <w:t>2022年</w:t>
      </w:r>
      <w:r>
        <w:rPr>
          <w:rFonts w:hint="eastAsia" w:ascii="仿宋" w:hAnsi="仿宋" w:eastAsia="仿宋"/>
          <w:color w:val="auto"/>
          <w:sz w:val="32"/>
          <w:szCs w:val="32"/>
          <w:highlight w:val="none"/>
          <w:lang w:val="en-US" w:eastAsia="zh-CN"/>
        </w:rPr>
        <w:t>精准防贫保险</w:t>
      </w:r>
      <w:r>
        <w:rPr>
          <w:rFonts w:hint="eastAsia" w:ascii="仿宋" w:hAnsi="仿宋" w:eastAsia="仿宋"/>
          <w:color w:val="auto"/>
          <w:sz w:val="32"/>
          <w:szCs w:val="32"/>
          <w:highlight w:val="none"/>
        </w:rPr>
        <w:t>项目的实施情况，评价项目专项资金的使用情况，项目的决策、管理过程，以及项目实施的产出和效果，并总结项目实施取得的成果及存在问题，提高财政资金的使用质量与效率。</w:t>
      </w:r>
    </w:p>
    <w:p>
      <w:pPr>
        <w:ind w:firstLine="321" w:firstLineChars="100"/>
        <w:outlineLvl w:val="1"/>
        <w:rPr>
          <w:rFonts w:hint="eastAsia" w:ascii="仿宋" w:hAnsi="仿宋" w:eastAsia="仿宋"/>
          <w:b/>
          <w:color w:val="auto"/>
          <w:sz w:val="32"/>
          <w:szCs w:val="32"/>
          <w:highlight w:val="none"/>
          <w:lang w:eastAsia="zh-CN"/>
        </w:rPr>
      </w:pPr>
      <w:bookmarkStart w:id="10" w:name="_Toc18563"/>
      <w:r>
        <w:rPr>
          <w:rFonts w:hint="eastAsia" w:ascii="仿宋" w:hAnsi="仿宋" w:eastAsia="仿宋"/>
          <w:b/>
          <w:color w:val="auto"/>
          <w:sz w:val="32"/>
          <w:szCs w:val="32"/>
          <w:highlight w:val="none"/>
        </w:rPr>
        <w:t>2.2绩效评价工作方案制定过程</w:t>
      </w:r>
      <w:bookmarkEnd w:id="10"/>
    </w:p>
    <w:p>
      <w:pPr>
        <w:ind w:firstLine="321" w:firstLineChars="100"/>
        <w:outlineLvl w:val="2"/>
        <w:rPr>
          <w:rFonts w:ascii="仿宋" w:hAnsi="仿宋" w:eastAsia="仿宋"/>
          <w:color w:val="auto"/>
          <w:sz w:val="32"/>
          <w:szCs w:val="32"/>
          <w:highlight w:val="none"/>
        </w:rPr>
      </w:pPr>
      <w:r>
        <w:rPr>
          <w:rFonts w:hint="eastAsia" w:ascii="仿宋" w:hAnsi="仿宋" w:eastAsia="仿宋"/>
          <w:b/>
          <w:color w:val="auto"/>
          <w:sz w:val="32"/>
          <w:szCs w:val="32"/>
          <w:highlight w:val="none"/>
        </w:rPr>
        <w:t>2.2.1前期调研</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在受托对项目开展绩效评价后，项目组及时与区农办项目负责人进行沟通，了解项目的基本情况：包括项目实施背景、计划实施内容、组织实施流程、项目验收等，并收集明细账、合同等相关文件资料。</w:t>
      </w:r>
    </w:p>
    <w:p>
      <w:pPr>
        <w:ind w:firstLine="321" w:firstLineChars="100"/>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2.2.2研究文件</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在对项目概况初步了解后，组织项目组成员对收集到的文件资料进行研读，并查阅与项目实施密切相关的规章制度、文件规定，力求获取对项目全方位的了解。根据赣州蓉江新区财政局的要求，结合项目特点，形成项目评价的总体思路。</w:t>
      </w:r>
    </w:p>
    <w:p>
      <w:pPr>
        <w:ind w:firstLine="321" w:firstLineChars="100"/>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2.2.3绩效评价指标体系及工作方案设计</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根据前期调研结果和对相关文件资料的研读，结合项目计划实施内容，形成方案初稿，并就方案的可行性、合理性向项目实施单位征求意见，根据反馈意见修改后形成最终的项目绩效评价方案。</w:t>
      </w:r>
    </w:p>
    <w:p>
      <w:pPr>
        <w:ind w:firstLine="321" w:firstLineChars="100"/>
        <w:outlineLvl w:val="1"/>
        <w:rPr>
          <w:rFonts w:hint="eastAsia" w:ascii="仿宋" w:hAnsi="仿宋" w:eastAsia="仿宋"/>
          <w:b/>
          <w:color w:val="auto"/>
          <w:sz w:val="32"/>
          <w:szCs w:val="32"/>
          <w:highlight w:val="none"/>
          <w:lang w:eastAsia="zh-CN"/>
        </w:rPr>
      </w:pPr>
      <w:bookmarkStart w:id="11" w:name="_Toc23276"/>
      <w:r>
        <w:rPr>
          <w:rFonts w:hint="eastAsia" w:ascii="仿宋" w:hAnsi="仿宋" w:eastAsia="仿宋"/>
          <w:b/>
          <w:color w:val="auto"/>
          <w:sz w:val="32"/>
          <w:szCs w:val="32"/>
          <w:highlight w:val="none"/>
        </w:rPr>
        <w:t>2.3绩效评价原则、评价方法、评价依据等</w:t>
      </w:r>
      <w:bookmarkEnd w:id="11"/>
    </w:p>
    <w:p>
      <w:pPr>
        <w:ind w:firstLine="321" w:firstLineChars="100"/>
        <w:outlineLvl w:val="2"/>
        <w:rPr>
          <w:rFonts w:ascii="仿宋" w:hAnsi="仿宋" w:eastAsia="仿宋"/>
          <w:color w:val="auto"/>
          <w:sz w:val="32"/>
          <w:szCs w:val="32"/>
          <w:highlight w:val="none"/>
        </w:rPr>
      </w:pPr>
      <w:r>
        <w:rPr>
          <w:rFonts w:hint="eastAsia" w:ascii="仿宋" w:hAnsi="仿宋" w:eastAsia="仿宋"/>
          <w:b/>
          <w:color w:val="auto"/>
          <w:sz w:val="32"/>
          <w:szCs w:val="32"/>
          <w:highlight w:val="none"/>
        </w:rPr>
        <w:t>2.3.1绩效评价原则</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科学规范。绩效评价注重财政支出的经济性、效率性和有效性，严格执行规定的程序，采用定量与定性分析相结合的方法。</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公正公开。绩效评价客观、公正，标准统一、资料可靠，依法公开并接受监督。</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绩效相关。绩效评价针对具体支出及其产出绩效进行，评价结果清晰反映支出和产出绩效之间的紧密对应关系。</w:t>
      </w:r>
    </w:p>
    <w:p>
      <w:pPr>
        <w:ind w:left="210" w:leftChars="100" w:firstLine="321" w:firstLineChars="100"/>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2.3.2评价方法</w:t>
      </w:r>
    </w:p>
    <w:p>
      <w:pPr>
        <w:keepNext w:val="0"/>
        <w:keepLines w:val="0"/>
        <w:pageBreakBefore w:val="0"/>
        <w:widowControl w:val="0"/>
        <w:kinsoku/>
        <w:wordWrap/>
        <w:overflowPunct/>
        <w:topLinePunct w:val="0"/>
        <w:autoSpaceDE/>
        <w:autoSpaceDN/>
        <w:bidi w:val="0"/>
        <w:adjustRightInd/>
        <w:snapToGrid/>
        <w:ind w:left="210" w:leftChars="100" w:firstLine="640" w:firstLineChars="200"/>
        <w:textAlignment w:val="auto"/>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本项目进行绩效评价时采用比较法等方法。</w:t>
      </w:r>
    </w:p>
    <w:p>
      <w:pPr>
        <w:keepNext w:val="0"/>
        <w:keepLines w:val="0"/>
        <w:pageBreakBefore w:val="0"/>
        <w:widowControl w:val="0"/>
        <w:numPr>
          <w:ilvl w:val="0"/>
          <w:numId w:val="3"/>
        </w:numPr>
        <w:kinsoku/>
        <w:wordWrap/>
        <w:overflowPunct/>
        <w:topLinePunct w:val="0"/>
        <w:autoSpaceDE/>
        <w:autoSpaceDN/>
        <w:bidi w:val="0"/>
        <w:adjustRightInd/>
        <w:snapToGrid/>
        <w:ind w:left="210" w:leftChars="0"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比较法：充分运用项目预算资料，对比项目实际情况，找出差异与不足，对项目的各项绩效目标进行分析与评价。</w:t>
      </w:r>
    </w:p>
    <w:p>
      <w:pPr>
        <w:keepNext w:val="0"/>
        <w:keepLines w:val="0"/>
        <w:pageBreakBefore w:val="0"/>
        <w:widowControl w:val="0"/>
        <w:numPr>
          <w:ilvl w:val="0"/>
          <w:numId w:val="3"/>
        </w:numPr>
        <w:kinsoku/>
        <w:wordWrap/>
        <w:overflowPunct/>
        <w:topLinePunct w:val="0"/>
        <w:autoSpaceDE/>
        <w:autoSpaceDN/>
        <w:bidi w:val="0"/>
        <w:adjustRightInd/>
        <w:snapToGrid/>
        <w:ind w:left="210" w:leftChars="0"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因素分析法：综合分析影响绩效目标实现、实施效果的内外因素，评价绩效目标实现程度。</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公众评判法：</w:t>
      </w:r>
      <w:r>
        <w:rPr>
          <w:rFonts w:ascii="仿宋" w:hAnsi="仿宋" w:eastAsia="仿宋"/>
          <w:color w:val="auto"/>
          <w:sz w:val="32"/>
          <w:szCs w:val="32"/>
          <w:highlight w:val="none"/>
        </w:rPr>
        <w:t>通过</w:t>
      </w:r>
      <w:r>
        <w:rPr>
          <w:rFonts w:hint="eastAsia" w:ascii="仿宋" w:hAnsi="仿宋" w:eastAsia="仿宋"/>
          <w:color w:val="auto"/>
          <w:sz w:val="32"/>
          <w:szCs w:val="32"/>
          <w:highlight w:val="none"/>
        </w:rPr>
        <w:t>对服务对象发布</w:t>
      </w:r>
      <w:r>
        <w:rPr>
          <w:rFonts w:ascii="仿宋" w:hAnsi="仿宋" w:eastAsia="仿宋"/>
          <w:color w:val="auto"/>
          <w:sz w:val="32"/>
          <w:szCs w:val="32"/>
          <w:highlight w:val="none"/>
        </w:rPr>
        <w:t>公众问卷及抽样调查等对</w:t>
      </w:r>
      <w:r>
        <w:rPr>
          <w:rFonts w:hint="eastAsia" w:ascii="仿宋" w:hAnsi="仿宋" w:eastAsia="仿宋"/>
          <w:color w:val="auto"/>
          <w:sz w:val="32"/>
          <w:szCs w:val="32"/>
          <w:highlight w:val="none"/>
        </w:rPr>
        <w:t>项目</w:t>
      </w:r>
      <w:r>
        <w:rPr>
          <w:rFonts w:ascii="仿宋" w:hAnsi="仿宋" w:eastAsia="仿宋"/>
          <w:color w:val="auto"/>
          <w:sz w:val="32"/>
          <w:szCs w:val="32"/>
          <w:highlight w:val="none"/>
        </w:rPr>
        <w:t>支出效果进行评判，评价绩效目标实现程度</w:t>
      </w:r>
      <w:r>
        <w:rPr>
          <w:rFonts w:hint="eastAsia" w:ascii="仿宋" w:hAnsi="仿宋" w:eastAsia="仿宋"/>
          <w:color w:val="auto"/>
          <w:sz w:val="32"/>
          <w:szCs w:val="32"/>
          <w:highlight w:val="none"/>
        </w:rPr>
        <w:t>和对象的满意度。</w:t>
      </w:r>
    </w:p>
    <w:p>
      <w:pPr>
        <w:keepNext w:val="0"/>
        <w:keepLines w:val="0"/>
        <w:pageBreakBefore w:val="0"/>
        <w:widowControl w:val="0"/>
        <w:kinsoku/>
        <w:wordWrap/>
        <w:overflowPunct/>
        <w:topLinePunct w:val="0"/>
        <w:autoSpaceDE/>
        <w:autoSpaceDN/>
        <w:bidi w:val="0"/>
        <w:adjustRightInd/>
        <w:snapToGrid/>
        <w:ind w:leftChars="0"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（4）其他评价方法。</w:t>
      </w:r>
    </w:p>
    <w:p>
      <w:pPr>
        <w:ind w:firstLine="643" w:firstLineChars="200"/>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2.3.3评价依据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《关于印发《项目支出绩效评价管理办法》的通知》（财预〔2020</w:t>
      </w:r>
      <w:r>
        <w:rPr>
          <w:rFonts w:ascii="仿宋" w:hAnsi="仿宋" w:eastAsia="仿宋"/>
          <w:color w:val="auto"/>
          <w:sz w:val="32"/>
          <w:szCs w:val="32"/>
          <w:highlight w:val="none"/>
        </w:rPr>
        <w:t>〕</w:t>
      </w:r>
      <w:r>
        <w:rPr>
          <w:rFonts w:hint="eastAsia" w:ascii="仿宋" w:hAnsi="仿宋" w:eastAsia="仿宋"/>
          <w:color w:val="auto"/>
          <w:sz w:val="32"/>
          <w:szCs w:val="32"/>
          <w:highlight w:val="none"/>
        </w:rPr>
        <w:t>10号</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《中共赣州市委赣州市人民政府关于全面实施预算绩效管理的实施意见》（赣市发〔2019〕12号</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《赣州市预算绩效管理暂行办法》；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《赣州蓉江新区财政局关于开展</w:t>
      </w:r>
      <w:r>
        <w:rPr>
          <w:rFonts w:hint="eastAsia" w:ascii="仿宋" w:hAnsi="仿宋" w:eastAsia="仿宋"/>
          <w:color w:val="auto"/>
          <w:sz w:val="32"/>
          <w:szCs w:val="32"/>
          <w:highlight w:val="none"/>
          <w:lang w:eastAsia="zh-CN"/>
        </w:rPr>
        <w:t>2022年</w:t>
      </w:r>
      <w:r>
        <w:rPr>
          <w:rFonts w:hint="eastAsia" w:ascii="仿宋" w:hAnsi="仿宋" w:eastAsia="仿宋"/>
          <w:color w:val="auto"/>
          <w:sz w:val="32"/>
          <w:szCs w:val="32"/>
          <w:highlight w:val="none"/>
        </w:rPr>
        <w:t>度区本级预算项目和部门整体支出绩效评价工作的通知》（赣蓉财预字〔2022〕10号</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highlight w:val="none"/>
        </w:rPr>
      </w:pPr>
      <w:r>
        <w:rPr>
          <w:rFonts w:hint="eastAsia" w:ascii="仿宋" w:hAnsi="仿宋" w:eastAsia="仿宋"/>
          <w:color w:val="auto"/>
          <w:sz w:val="32"/>
          <w:szCs w:val="32"/>
          <w:highlight w:val="none"/>
        </w:rPr>
        <w:t>《关于开展区本级</w:t>
      </w:r>
      <w:r>
        <w:rPr>
          <w:rFonts w:hint="eastAsia" w:ascii="仿宋" w:hAnsi="仿宋" w:eastAsia="仿宋"/>
          <w:color w:val="auto"/>
          <w:sz w:val="32"/>
          <w:szCs w:val="32"/>
          <w:highlight w:val="none"/>
          <w:lang w:eastAsia="zh-CN"/>
        </w:rPr>
        <w:t>2022年</w:t>
      </w:r>
      <w:r>
        <w:rPr>
          <w:rFonts w:hint="eastAsia" w:ascii="仿宋" w:hAnsi="仿宋" w:eastAsia="仿宋"/>
          <w:color w:val="auto"/>
          <w:sz w:val="32"/>
          <w:szCs w:val="32"/>
          <w:highlight w:val="none"/>
        </w:rPr>
        <w:t>财政绩效评价及2022年财政绩效监控有关事项的通知》（赣蓉财预字〔2022〕20号</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ind w:firstLine="643" w:firstLineChars="200"/>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2.3.4数据收集与绩效评价实施过程</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评价小组在工作方案指导下，开展绩效评价工作。广泛收集项目资料并分析项目情况，采用访谈方法收集一手数据，通过对资料分析、研究、总结，对指标体系评分，得出项目取得的成绩，指出项目存在的问题，提出相关建议。</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1</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工作方案策划</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首先与委托方、项目实施单位等部门进行充分沟通与交流，制定绩效评价工作方案。</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2</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资料收集</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绩效评价组以绩效评价指标体系要求为基础进行资料收集，收集了项目实施的各项资料，包括预算编制、实施计划、实施内容、实施流程、管理制度、检查监督、档案管理等。</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3</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访谈</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为更进一步了解项目实施的各项情况，我们开展访谈，对项目有关人员进行情况了解。</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4</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分析研究</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按照制定的绩效评价指标体系，根据以上收集的文献资料、访谈等，对各项绩效评价指标进行分析与评价。</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5</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归纳总结</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在充分调研、分析的基础上，对项目取得的成效与经验、项目存在的问题进行归纳总结，并提出相关建议。</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6</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形成报告</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在资料收集、访谈、分析研究、归纳总结的基础上，编制报告初稿，并按照委托方的意见对报告进行修改，形成绩效评价最终报告。</w:t>
      </w:r>
    </w:p>
    <w:p>
      <w:pPr>
        <w:snapToGrid w:val="0"/>
        <w:outlineLvl w:val="0"/>
        <w:rPr>
          <w:rFonts w:ascii="仿宋" w:hAnsi="仿宋" w:eastAsia="仿宋"/>
          <w:b/>
          <w:color w:val="auto"/>
          <w:sz w:val="32"/>
          <w:szCs w:val="32"/>
          <w:highlight w:val="none"/>
        </w:rPr>
      </w:pPr>
      <w:bookmarkStart w:id="12" w:name="_Toc31225"/>
      <w:r>
        <w:rPr>
          <w:rFonts w:hint="eastAsia" w:ascii="仿宋" w:hAnsi="仿宋" w:eastAsia="仿宋"/>
          <w:b/>
          <w:color w:val="auto"/>
          <w:sz w:val="32"/>
          <w:szCs w:val="32"/>
          <w:highlight w:val="none"/>
        </w:rPr>
        <w:t>3、具体绩效分析</w:t>
      </w:r>
      <w:bookmarkEnd w:id="12"/>
    </w:p>
    <w:p>
      <w:pPr>
        <w:ind w:firstLine="321" w:firstLineChars="100"/>
        <w:outlineLvl w:val="1"/>
        <w:rPr>
          <w:rFonts w:ascii="仿宋" w:hAnsi="仿宋" w:eastAsia="仿宋" w:cs="仿宋"/>
          <w:b/>
          <w:color w:val="auto"/>
          <w:sz w:val="32"/>
          <w:szCs w:val="32"/>
          <w:highlight w:val="none"/>
        </w:rPr>
      </w:pPr>
      <w:bookmarkStart w:id="13" w:name="_Toc8167"/>
      <w:r>
        <w:rPr>
          <w:rFonts w:hint="eastAsia" w:ascii="仿宋" w:hAnsi="仿宋" w:eastAsia="仿宋" w:cs="仿宋"/>
          <w:b/>
          <w:color w:val="auto"/>
          <w:sz w:val="32"/>
          <w:szCs w:val="32"/>
          <w:highlight w:val="none"/>
        </w:rPr>
        <w:t>3.1项目决策性指标类</w:t>
      </w:r>
      <w:bookmarkEnd w:id="13"/>
    </w:p>
    <w:p>
      <w:pPr>
        <w:spacing w:line="560" w:lineRule="exact"/>
        <w:ind w:firstLine="56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决策性指标类由3个二级指标和5个三级指标构成，权重分为15分，实际得分</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rPr>
        <w:t>分，得分率</w:t>
      </w:r>
      <w:r>
        <w:rPr>
          <w:rFonts w:hint="eastAsia" w:ascii="仿宋" w:hAnsi="仿宋" w:eastAsia="仿宋" w:cs="仿宋"/>
          <w:color w:val="auto"/>
          <w:sz w:val="32"/>
          <w:szCs w:val="32"/>
          <w:highlight w:val="none"/>
          <w:lang w:val="en-US" w:eastAsia="zh-CN"/>
        </w:rPr>
        <w:t>80</w:t>
      </w:r>
      <w:r>
        <w:rPr>
          <w:rFonts w:hint="eastAsia" w:ascii="仿宋" w:hAnsi="仿宋" w:eastAsia="仿宋" w:cs="仿宋"/>
          <w:color w:val="auto"/>
          <w:sz w:val="32"/>
          <w:szCs w:val="32"/>
          <w:highlight w:val="none"/>
        </w:rPr>
        <w:t>%。</w:t>
      </w:r>
    </w:p>
    <w:p>
      <w:pPr>
        <w:spacing w:line="560" w:lineRule="exact"/>
        <w:ind w:firstLine="643" w:firstLineChars="20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A.决策性指标</w:t>
      </w:r>
    </w:p>
    <w:p>
      <w:pPr>
        <w:spacing w:line="560" w:lineRule="exact"/>
        <w:ind w:firstLine="56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主要考察项目预算的编制、决策依据、决策程序，目标设立是否细化、量化、明确，决策依据是否充分，决策程序是否规范。</w:t>
      </w:r>
    </w:p>
    <w:p>
      <w:pPr>
        <w:spacing w:line="560" w:lineRule="exact"/>
        <w:ind w:firstLine="56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各指标业绩值和实际得分详见表3-1。</w:t>
      </w:r>
    </w:p>
    <w:p>
      <w:pPr>
        <w:spacing w:line="560" w:lineRule="exact"/>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表3-1决策性指标评分表</w:t>
      </w:r>
    </w:p>
    <w:tbl>
      <w:tblPr>
        <w:tblStyle w:val="11"/>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64"/>
        <w:gridCol w:w="893"/>
        <w:gridCol w:w="2240"/>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164"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指标名称</w:t>
            </w:r>
          </w:p>
        </w:tc>
        <w:tc>
          <w:tcPr>
            <w:tcW w:w="893" w:type="dxa"/>
          </w:tcPr>
          <w:p>
            <w:pPr>
              <w:spacing w:line="42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w:t>
            </w:r>
          </w:p>
          <w:p>
            <w:pPr>
              <w:spacing w:line="42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权重</w:t>
            </w:r>
          </w:p>
        </w:tc>
        <w:tc>
          <w:tcPr>
            <w:tcW w:w="2240"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业绩值</w:t>
            </w:r>
          </w:p>
        </w:tc>
        <w:tc>
          <w:tcPr>
            <w:tcW w:w="1222" w:type="dxa"/>
          </w:tcPr>
          <w:p>
            <w:pPr>
              <w:spacing w:line="42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实际</w:t>
            </w:r>
          </w:p>
          <w:p>
            <w:pPr>
              <w:spacing w:line="42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Pr>
          <w:p>
            <w:pPr>
              <w:spacing w:line="42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A1绩效目标</w:t>
            </w:r>
          </w:p>
        </w:tc>
        <w:tc>
          <w:tcPr>
            <w:tcW w:w="893" w:type="dxa"/>
          </w:tcPr>
          <w:p>
            <w:pPr>
              <w:spacing w:line="420" w:lineRule="exact"/>
              <w:ind w:firstLine="360"/>
              <w:jc w:val="center"/>
              <w:rPr>
                <w:rFonts w:ascii="仿宋" w:hAnsi="仿宋" w:eastAsia="仿宋" w:cs="仿宋"/>
                <w:color w:val="auto"/>
                <w:kern w:val="0"/>
                <w:sz w:val="30"/>
                <w:szCs w:val="30"/>
                <w:highlight w:val="none"/>
              </w:rPr>
            </w:pPr>
          </w:p>
        </w:tc>
        <w:tc>
          <w:tcPr>
            <w:tcW w:w="2240" w:type="dxa"/>
          </w:tcPr>
          <w:p>
            <w:pPr>
              <w:spacing w:line="420" w:lineRule="exact"/>
              <w:ind w:firstLine="360"/>
              <w:jc w:val="center"/>
              <w:rPr>
                <w:rFonts w:ascii="仿宋" w:hAnsi="仿宋" w:eastAsia="仿宋" w:cs="仿宋"/>
                <w:color w:val="auto"/>
                <w:kern w:val="0"/>
                <w:sz w:val="30"/>
                <w:szCs w:val="30"/>
                <w:highlight w:val="none"/>
              </w:rPr>
            </w:pPr>
          </w:p>
        </w:tc>
        <w:tc>
          <w:tcPr>
            <w:tcW w:w="1222" w:type="dxa"/>
          </w:tcPr>
          <w:p>
            <w:pPr>
              <w:spacing w:line="42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Pr>
          <w:p>
            <w:pPr>
              <w:spacing w:line="42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A1.1绩效指标明确性</w:t>
            </w:r>
          </w:p>
        </w:tc>
        <w:tc>
          <w:tcPr>
            <w:tcW w:w="893"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w:t>
            </w:r>
          </w:p>
        </w:tc>
        <w:tc>
          <w:tcPr>
            <w:tcW w:w="2240" w:type="dxa"/>
          </w:tcPr>
          <w:p>
            <w:pPr>
              <w:spacing w:line="42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明确</w:t>
            </w:r>
          </w:p>
        </w:tc>
        <w:tc>
          <w:tcPr>
            <w:tcW w:w="1222" w:type="dxa"/>
          </w:tcPr>
          <w:p>
            <w:pPr>
              <w:spacing w:line="4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Pr>
          <w:p>
            <w:pPr>
              <w:spacing w:line="42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A1.2绩效指标科学合理性</w:t>
            </w:r>
          </w:p>
        </w:tc>
        <w:tc>
          <w:tcPr>
            <w:tcW w:w="893"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w:t>
            </w:r>
          </w:p>
        </w:tc>
        <w:tc>
          <w:tcPr>
            <w:tcW w:w="2240" w:type="dxa"/>
          </w:tcPr>
          <w:p>
            <w:pPr>
              <w:spacing w:line="420" w:lineRule="exact"/>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合理</w:t>
            </w:r>
          </w:p>
        </w:tc>
        <w:tc>
          <w:tcPr>
            <w:tcW w:w="1222" w:type="dxa"/>
          </w:tcPr>
          <w:p>
            <w:pPr>
              <w:spacing w:line="420" w:lineRule="exact"/>
              <w:ind w:firstLine="360"/>
              <w:jc w:val="center"/>
              <w:rPr>
                <w:rFonts w:hint="eastAsia" w:ascii="仿宋" w:hAnsi="仿宋" w:eastAsia="仿宋" w:cs="仿宋"/>
                <w:color w:val="auto"/>
                <w:kern w:val="0"/>
                <w:sz w:val="30"/>
                <w:szCs w:val="30"/>
                <w:highlight w:val="none"/>
                <w:lang w:eastAsia="zh-CN"/>
              </w:rPr>
            </w:pPr>
            <w:r>
              <w:rPr>
                <w:rFonts w:hint="eastAsia" w:ascii="仿宋" w:hAnsi="仿宋" w:eastAsia="仿宋" w:cs="仿宋"/>
                <w:color w:val="auto"/>
                <w:kern w:val="0"/>
                <w:sz w:val="30"/>
                <w:szCs w:val="3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Pr>
          <w:p>
            <w:pPr>
              <w:spacing w:line="42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A2决策过程</w:t>
            </w:r>
          </w:p>
        </w:tc>
        <w:tc>
          <w:tcPr>
            <w:tcW w:w="893" w:type="dxa"/>
          </w:tcPr>
          <w:p>
            <w:pPr>
              <w:spacing w:line="420" w:lineRule="exact"/>
              <w:ind w:firstLine="360"/>
              <w:jc w:val="center"/>
              <w:rPr>
                <w:rFonts w:ascii="仿宋" w:hAnsi="仿宋" w:eastAsia="仿宋" w:cs="仿宋"/>
                <w:color w:val="auto"/>
                <w:kern w:val="0"/>
                <w:sz w:val="30"/>
                <w:szCs w:val="30"/>
                <w:highlight w:val="none"/>
              </w:rPr>
            </w:pPr>
          </w:p>
        </w:tc>
        <w:tc>
          <w:tcPr>
            <w:tcW w:w="2240" w:type="dxa"/>
          </w:tcPr>
          <w:p>
            <w:pPr>
              <w:spacing w:line="420" w:lineRule="exact"/>
              <w:ind w:firstLine="360"/>
              <w:jc w:val="center"/>
              <w:rPr>
                <w:rFonts w:ascii="仿宋" w:hAnsi="仿宋" w:eastAsia="仿宋" w:cs="仿宋"/>
                <w:color w:val="auto"/>
                <w:kern w:val="0"/>
                <w:sz w:val="30"/>
                <w:szCs w:val="30"/>
                <w:highlight w:val="none"/>
              </w:rPr>
            </w:pPr>
          </w:p>
        </w:tc>
        <w:tc>
          <w:tcPr>
            <w:tcW w:w="1222" w:type="dxa"/>
          </w:tcPr>
          <w:p>
            <w:pPr>
              <w:spacing w:line="42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164" w:type="dxa"/>
          </w:tcPr>
          <w:p>
            <w:pPr>
              <w:spacing w:line="42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A2.1决策依据</w:t>
            </w:r>
          </w:p>
        </w:tc>
        <w:tc>
          <w:tcPr>
            <w:tcW w:w="893"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w:t>
            </w:r>
          </w:p>
        </w:tc>
        <w:tc>
          <w:tcPr>
            <w:tcW w:w="2240" w:type="dxa"/>
          </w:tcPr>
          <w:p>
            <w:pPr>
              <w:spacing w:line="42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《2022年人保财险赣州市分公司精准防返贫保险方案》（赣市巩字办〔2022〕7号）</w:t>
            </w:r>
          </w:p>
        </w:tc>
        <w:tc>
          <w:tcPr>
            <w:tcW w:w="1222" w:type="dxa"/>
          </w:tcPr>
          <w:p>
            <w:pPr>
              <w:spacing w:line="4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Pr>
          <w:p>
            <w:pPr>
              <w:spacing w:line="42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A2.2决策程序</w:t>
            </w:r>
          </w:p>
        </w:tc>
        <w:tc>
          <w:tcPr>
            <w:tcW w:w="893"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w:t>
            </w:r>
          </w:p>
        </w:tc>
        <w:tc>
          <w:tcPr>
            <w:tcW w:w="2240" w:type="dxa"/>
          </w:tcPr>
          <w:p>
            <w:pPr>
              <w:spacing w:line="42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lang w:val="en-US" w:eastAsia="zh-CN"/>
              </w:rPr>
              <w:t>达标</w:t>
            </w:r>
          </w:p>
        </w:tc>
        <w:tc>
          <w:tcPr>
            <w:tcW w:w="1222" w:type="dxa"/>
          </w:tcPr>
          <w:p>
            <w:pPr>
              <w:spacing w:line="4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Pr>
          <w:p>
            <w:pPr>
              <w:spacing w:line="42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A3资金分配</w:t>
            </w:r>
          </w:p>
        </w:tc>
        <w:tc>
          <w:tcPr>
            <w:tcW w:w="893" w:type="dxa"/>
          </w:tcPr>
          <w:p>
            <w:pPr>
              <w:spacing w:line="420" w:lineRule="exact"/>
              <w:ind w:firstLine="360"/>
              <w:jc w:val="center"/>
              <w:rPr>
                <w:rFonts w:ascii="仿宋" w:hAnsi="仿宋" w:eastAsia="仿宋" w:cs="仿宋"/>
                <w:color w:val="auto"/>
                <w:kern w:val="0"/>
                <w:sz w:val="30"/>
                <w:szCs w:val="30"/>
                <w:highlight w:val="none"/>
              </w:rPr>
            </w:pPr>
          </w:p>
        </w:tc>
        <w:tc>
          <w:tcPr>
            <w:tcW w:w="2240" w:type="dxa"/>
          </w:tcPr>
          <w:p>
            <w:pPr>
              <w:spacing w:line="420" w:lineRule="exact"/>
              <w:ind w:firstLine="360"/>
              <w:jc w:val="center"/>
              <w:rPr>
                <w:rFonts w:ascii="仿宋" w:hAnsi="仿宋" w:eastAsia="仿宋" w:cs="仿宋"/>
                <w:color w:val="auto"/>
                <w:kern w:val="0"/>
                <w:sz w:val="30"/>
                <w:szCs w:val="30"/>
                <w:highlight w:val="none"/>
              </w:rPr>
            </w:pPr>
          </w:p>
        </w:tc>
        <w:tc>
          <w:tcPr>
            <w:tcW w:w="1222" w:type="dxa"/>
          </w:tcPr>
          <w:p>
            <w:pPr>
              <w:spacing w:line="42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Pr>
          <w:p>
            <w:pPr>
              <w:spacing w:line="42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A3.1分配办法</w:t>
            </w:r>
          </w:p>
        </w:tc>
        <w:tc>
          <w:tcPr>
            <w:tcW w:w="893"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w:t>
            </w:r>
          </w:p>
        </w:tc>
        <w:tc>
          <w:tcPr>
            <w:tcW w:w="2240" w:type="dxa"/>
          </w:tcPr>
          <w:p>
            <w:pPr>
              <w:spacing w:line="420" w:lineRule="exact"/>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部分不确定</w:t>
            </w:r>
          </w:p>
        </w:tc>
        <w:tc>
          <w:tcPr>
            <w:tcW w:w="1222" w:type="dxa"/>
          </w:tcPr>
          <w:p>
            <w:pPr>
              <w:spacing w:line="420" w:lineRule="exact"/>
              <w:ind w:firstLine="360"/>
              <w:jc w:val="center"/>
              <w:rPr>
                <w:rFonts w:hint="eastAsia" w:ascii="仿宋" w:hAnsi="仿宋" w:eastAsia="仿宋" w:cs="仿宋"/>
                <w:color w:val="auto"/>
                <w:kern w:val="0"/>
                <w:sz w:val="30"/>
                <w:szCs w:val="30"/>
                <w:highlight w:val="none"/>
                <w:lang w:eastAsia="zh-CN"/>
              </w:rPr>
            </w:pPr>
            <w:r>
              <w:rPr>
                <w:rFonts w:hint="eastAsia" w:ascii="仿宋" w:hAnsi="仿宋" w:eastAsia="仿宋" w:cs="仿宋"/>
                <w:color w:val="auto"/>
                <w:kern w:val="0"/>
                <w:sz w:val="30"/>
                <w:szCs w:val="30"/>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4164"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小计</w:t>
            </w:r>
          </w:p>
        </w:tc>
        <w:tc>
          <w:tcPr>
            <w:tcW w:w="893" w:type="dxa"/>
          </w:tcPr>
          <w:p>
            <w:pPr>
              <w:spacing w:line="4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15</w:t>
            </w:r>
          </w:p>
        </w:tc>
        <w:tc>
          <w:tcPr>
            <w:tcW w:w="2240" w:type="dxa"/>
          </w:tcPr>
          <w:p>
            <w:pPr>
              <w:spacing w:line="420" w:lineRule="exact"/>
              <w:ind w:firstLine="360"/>
              <w:jc w:val="center"/>
              <w:rPr>
                <w:rFonts w:ascii="仿宋" w:hAnsi="仿宋" w:eastAsia="仿宋" w:cs="仿宋"/>
                <w:color w:val="auto"/>
                <w:kern w:val="0"/>
                <w:sz w:val="30"/>
                <w:szCs w:val="30"/>
                <w:highlight w:val="none"/>
              </w:rPr>
            </w:pPr>
          </w:p>
        </w:tc>
        <w:tc>
          <w:tcPr>
            <w:tcW w:w="1222" w:type="dxa"/>
          </w:tcPr>
          <w:p>
            <w:pPr>
              <w:spacing w:line="4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12</w:t>
            </w:r>
          </w:p>
        </w:tc>
      </w:tr>
    </w:tbl>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A1绩效目标</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A1.1绩效指标明确性</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项目绩效目标明确，细化为三级指标，部分绩效目标未量化。</w:t>
      </w:r>
      <w:r>
        <w:rPr>
          <w:rFonts w:hint="eastAsia" w:ascii="仿宋" w:hAnsi="仿宋" w:eastAsia="仿宋" w:cs="仿宋"/>
          <w:color w:val="auto"/>
          <w:sz w:val="32"/>
          <w:szCs w:val="32"/>
          <w:highlight w:val="none"/>
        </w:rPr>
        <w:t>因此，项目绩效指标明确性</w:t>
      </w:r>
      <w:r>
        <w:rPr>
          <w:rFonts w:hint="eastAsia" w:ascii="仿宋" w:hAnsi="仿宋" w:eastAsia="仿宋" w:cs="仿宋"/>
          <w:color w:val="auto"/>
          <w:sz w:val="32"/>
          <w:szCs w:val="32"/>
          <w:highlight w:val="none"/>
          <w:lang w:val="en-US" w:eastAsia="zh-CN"/>
        </w:rPr>
        <w:t>部分</w:t>
      </w:r>
      <w:r>
        <w:rPr>
          <w:rFonts w:hint="eastAsia" w:ascii="仿宋" w:hAnsi="仿宋" w:eastAsia="仿宋" w:cs="仿宋"/>
          <w:color w:val="auto"/>
          <w:sz w:val="32"/>
          <w:szCs w:val="32"/>
          <w:highlight w:val="none"/>
        </w:rPr>
        <w:t>业绩值不确定。</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分。</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A1.2绩效指标科学合理性</w:t>
      </w:r>
    </w:p>
    <w:p>
      <w:pPr>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项目</w:t>
      </w:r>
      <w:r>
        <w:rPr>
          <w:rFonts w:hint="eastAsia" w:ascii="仿宋" w:hAnsi="仿宋" w:eastAsia="仿宋"/>
          <w:color w:val="auto"/>
          <w:sz w:val="32"/>
          <w:szCs w:val="32"/>
          <w:highlight w:val="none"/>
          <w:lang w:val="en-US" w:eastAsia="zh-CN"/>
        </w:rPr>
        <w:t>根据《2022年人保财险赣州市分公司精准防返贫保险方案》（赣市巩字办〔2022〕7号）设置</w:t>
      </w:r>
      <w:r>
        <w:rPr>
          <w:rFonts w:hint="eastAsia" w:ascii="仿宋" w:hAnsi="仿宋" w:eastAsia="仿宋" w:cs="仿宋"/>
          <w:color w:val="auto"/>
          <w:sz w:val="32"/>
          <w:szCs w:val="32"/>
          <w:highlight w:val="none"/>
          <w:lang w:val="en-US" w:eastAsia="zh-CN"/>
        </w:rPr>
        <w:t>绩效指标，实际投保人数、支付金额与预算相匹配</w:t>
      </w:r>
      <w:r>
        <w:rPr>
          <w:rFonts w:hint="eastAsia" w:ascii="仿宋" w:hAnsi="仿宋" w:eastAsia="仿宋" w:cs="仿宋"/>
          <w:color w:val="auto"/>
          <w:sz w:val="32"/>
          <w:szCs w:val="32"/>
          <w:highlight w:val="none"/>
        </w:rPr>
        <w:t>。因此，项目绩效指标科学合理性业绩值</w:t>
      </w:r>
      <w:r>
        <w:rPr>
          <w:rFonts w:hint="eastAsia" w:ascii="仿宋" w:hAnsi="仿宋" w:eastAsia="仿宋" w:cs="仿宋"/>
          <w:color w:val="auto"/>
          <w:sz w:val="32"/>
          <w:szCs w:val="32"/>
          <w:highlight w:val="none"/>
          <w:lang w:val="en-US" w:eastAsia="zh-CN"/>
        </w:rPr>
        <w:t>实现</w:t>
      </w:r>
      <w:r>
        <w:rPr>
          <w:rFonts w:hint="eastAsia" w:ascii="仿宋" w:hAnsi="仿宋" w:eastAsia="仿宋" w:cs="仿宋"/>
          <w:color w:val="auto"/>
          <w:sz w:val="32"/>
          <w:szCs w:val="32"/>
          <w:highlight w:val="none"/>
        </w:rPr>
        <w:t>。</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A2决策过程</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A2.1决策依据</w:t>
      </w:r>
    </w:p>
    <w:p>
      <w:pPr>
        <w:ind w:firstLine="640" w:firstLineChars="200"/>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根据《2022年人保财险赣州市分公司精准防返贫保险方案》（赣市巩字办〔2022〕7号）文件，为确保全市防返贫保险政策标准相对规范，避免各地政策差异太大，便于统一监督落实，文件明确了项目具体的执行方案与标准。因此，评价认为项目决策依据指标实现目标值。</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p>
    <w:p>
      <w:pPr>
        <w:ind w:firstLine="64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A2.2决策程序</w:t>
      </w:r>
    </w:p>
    <w:p>
      <w:pPr>
        <w:ind w:firstLine="640" w:firstLineChars="200"/>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区农办依据相关文件精神，以政府采购计划程序进行审批，项目经过区农办、蓉江新区财政局审批通过。</w:t>
      </w:r>
      <w:r>
        <w:rPr>
          <w:rFonts w:hint="eastAsia" w:ascii="仿宋" w:hAnsi="仿宋" w:eastAsia="仿宋"/>
          <w:color w:val="auto"/>
          <w:sz w:val="32"/>
          <w:szCs w:val="32"/>
          <w:highlight w:val="none"/>
          <w:lang w:val="en-US" w:eastAsia="zh-CN"/>
        </w:rPr>
        <w:t>因此，评价认为项目决策程序指标实现目标值。</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A3资金分配</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A3.1资金分配办法</w:t>
      </w:r>
    </w:p>
    <w:p>
      <w:pPr>
        <w:ind w:firstLine="640" w:firstLineChars="200"/>
        <w:rPr>
          <w:rFonts w:hint="default" w:ascii="仿宋" w:hAnsi="仿宋" w:eastAsia="仿宋" w:cs="仿宋"/>
          <w:color w:val="auto"/>
          <w:sz w:val="32"/>
          <w:szCs w:val="32"/>
          <w:highlight w:val="none"/>
          <w:lang w:val="en-US"/>
        </w:rPr>
      </w:pPr>
      <w:r>
        <w:rPr>
          <w:rFonts w:hint="eastAsia" w:ascii="仿宋" w:hAnsi="仿宋" w:eastAsia="仿宋"/>
          <w:color w:val="auto"/>
          <w:sz w:val="32"/>
          <w:szCs w:val="32"/>
          <w:highlight w:val="none"/>
          <w:lang w:val="en-US" w:eastAsia="zh-CN"/>
        </w:rPr>
        <w:t>根据《2022年人保财险赣州市分公司精准防返贫保险方案》（赣市巩字办〔2022〕7号）文件，按农村户籍人口10%框定防贫保险人数，建议保费标准按120元/人。由于欠缺相关资料，我们无法判断防贫保险人数是否合理，无法确定资金分配是否与地方实际相适应。因此，项目资金分配办法部分业绩值无法确定。</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ind w:firstLine="643" w:firstLineChars="200"/>
        <w:outlineLvl w:val="1"/>
        <w:rPr>
          <w:rFonts w:ascii="仿宋" w:hAnsi="仿宋" w:eastAsia="仿宋" w:cs="仿宋"/>
          <w:b/>
          <w:color w:val="auto"/>
          <w:sz w:val="32"/>
          <w:szCs w:val="32"/>
          <w:highlight w:val="none"/>
        </w:rPr>
      </w:pPr>
      <w:bookmarkStart w:id="14" w:name="_Toc21260"/>
      <w:r>
        <w:rPr>
          <w:rFonts w:hint="eastAsia" w:ascii="仿宋" w:hAnsi="仿宋" w:eastAsia="仿宋" w:cs="仿宋"/>
          <w:b/>
          <w:color w:val="auto"/>
          <w:sz w:val="32"/>
          <w:szCs w:val="32"/>
          <w:highlight w:val="none"/>
        </w:rPr>
        <w:t>3.2项目管理性指标类</w:t>
      </w:r>
      <w:bookmarkEnd w:id="14"/>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管理性指标类由3个二级指标和12个三级指标构成，权重分为25分，实际得分</w:t>
      </w:r>
      <w:r>
        <w:rPr>
          <w:rFonts w:hint="eastAsia" w:ascii="仿宋" w:hAnsi="仿宋" w:eastAsia="仿宋" w:cs="仿宋"/>
          <w:color w:val="auto"/>
          <w:sz w:val="32"/>
          <w:szCs w:val="32"/>
          <w:highlight w:val="none"/>
          <w:lang w:val="en-US" w:eastAsia="zh-CN"/>
        </w:rPr>
        <w:t>22</w:t>
      </w:r>
      <w:r>
        <w:rPr>
          <w:rFonts w:hint="eastAsia" w:ascii="仿宋" w:hAnsi="仿宋" w:eastAsia="仿宋" w:cs="仿宋"/>
          <w:color w:val="auto"/>
          <w:sz w:val="32"/>
          <w:szCs w:val="32"/>
          <w:highlight w:val="none"/>
        </w:rPr>
        <w:t>分，得分率</w:t>
      </w:r>
      <w:r>
        <w:rPr>
          <w:rFonts w:hint="eastAsia" w:ascii="仿宋" w:hAnsi="仿宋" w:eastAsia="仿宋" w:cs="仿宋"/>
          <w:color w:val="auto"/>
          <w:sz w:val="32"/>
          <w:szCs w:val="32"/>
          <w:highlight w:val="none"/>
          <w:lang w:val="en-US" w:eastAsia="zh-CN"/>
        </w:rPr>
        <w:t>88%</w:t>
      </w:r>
      <w:r>
        <w:rPr>
          <w:rFonts w:hint="eastAsia" w:ascii="仿宋" w:hAnsi="仿宋" w:eastAsia="仿宋" w:cs="仿宋"/>
          <w:color w:val="auto"/>
          <w:sz w:val="32"/>
          <w:szCs w:val="32"/>
          <w:highlight w:val="none"/>
        </w:rPr>
        <w:t>。</w:t>
      </w:r>
    </w:p>
    <w:p>
      <w:pPr>
        <w:spacing w:line="560" w:lineRule="exact"/>
        <w:ind w:firstLine="643" w:firstLineChars="20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B.管理性指标</w:t>
      </w:r>
    </w:p>
    <w:p>
      <w:pPr>
        <w:spacing w:line="560" w:lineRule="exact"/>
        <w:ind w:firstLine="56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主要考察是否根据批复的预算和用途使用项目资金。项目实施过程中的管理、监督和核算是否符合相关规定。</w:t>
      </w:r>
    </w:p>
    <w:p>
      <w:pPr>
        <w:spacing w:line="560" w:lineRule="exact"/>
        <w:ind w:firstLine="640" w:firstLineChars="200"/>
        <w:jc w:val="cente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各指标业绩值和实际得分详见表3-2。</w:t>
      </w:r>
    </w:p>
    <w:p>
      <w:pPr>
        <w:spacing w:line="560" w:lineRule="exact"/>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表3-2管理性指标评分表</w:t>
      </w:r>
    </w:p>
    <w:tbl>
      <w:tblPr>
        <w:tblStyle w:val="11"/>
        <w:tblW w:w="85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865"/>
        <w:gridCol w:w="2275"/>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4174" w:type="dxa"/>
            <w:vAlign w:val="center"/>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指标名称</w:t>
            </w:r>
          </w:p>
        </w:tc>
        <w:tc>
          <w:tcPr>
            <w:tcW w:w="865" w:type="dxa"/>
            <w:vAlign w:val="center"/>
          </w:tcPr>
          <w:p>
            <w:pPr>
              <w:spacing w:line="38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w:t>
            </w:r>
          </w:p>
          <w:p>
            <w:pPr>
              <w:spacing w:line="38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权重</w:t>
            </w:r>
          </w:p>
        </w:tc>
        <w:tc>
          <w:tcPr>
            <w:tcW w:w="2275" w:type="dxa"/>
            <w:vAlign w:val="center"/>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业绩值</w:t>
            </w:r>
          </w:p>
        </w:tc>
        <w:tc>
          <w:tcPr>
            <w:tcW w:w="1225" w:type="dxa"/>
            <w:vAlign w:val="center"/>
          </w:tcPr>
          <w:p>
            <w:pPr>
              <w:spacing w:line="38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实际</w:t>
            </w:r>
          </w:p>
          <w:p>
            <w:pPr>
              <w:spacing w:line="38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B1资金落实</w:t>
            </w:r>
          </w:p>
        </w:tc>
        <w:tc>
          <w:tcPr>
            <w:tcW w:w="865" w:type="dxa"/>
          </w:tcPr>
          <w:p>
            <w:pPr>
              <w:spacing w:line="380" w:lineRule="exact"/>
              <w:ind w:firstLine="360"/>
              <w:jc w:val="center"/>
              <w:rPr>
                <w:rFonts w:ascii="仿宋" w:hAnsi="仿宋" w:eastAsia="仿宋" w:cs="仿宋"/>
                <w:color w:val="auto"/>
                <w:kern w:val="0"/>
                <w:sz w:val="30"/>
                <w:szCs w:val="30"/>
                <w:highlight w:val="none"/>
              </w:rPr>
            </w:pPr>
          </w:p>
        </w:tc>
        <w:tc>
          <w:tcPr>
            <w:tcW w:w="2275" w:type="dxa"/>
          </w:tcPr>
          <w:p>
            <w:pPr>
              <w:spacing w:line="380" w:lineRule="exact"/>
              <w:ind w:firstLine="360"/>
              <w:jc w:val="center"/>
              <w:rPr>
                <w:rFonts w:ascii="仿宋" w:hAnsi="仿宋" w:eastAsia="仿宋" w:cs="仿宋"/>
                <w:color w:val="auto"/>
                <w:kern w:val="0"/>
                <w:sz w:val="30"/>
                <w:szCs w:val="30"/>
                <w:highlight w:val="none"/>
              </w:rPr>
            </w:pPr>
          </w:p>
        </w:tc>
        <w:tc>
          <w:tcPr>
            <w:tcW w:w="1225" w:type="dxa"/>
          </w:tcPr>
          <w:p>
            <w:pPr>
              <w:spacing w:line="38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B1.1资金到位率</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w:t>
            </w:r>
          </w:p>
        </w:tc>
        <w:tc>
          <w:tcPr>
            <w:tcW w:w="2275" w:type="dxa"/>
          </w:tcPr>
          <w:p>
            <w:pPr>
              <w:spacing w:line="380" w:lineRule="exact"/>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已到位</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B1.2预算执行率</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138.20%</w:t>
            </w:r>
          </w:p>
        </w:tc>
        <w:tc>
          <w:tcPr>
            <w:tcW w:w="1225" w:type="dxa"/>
          </w:tcPr>
          <w:p>
            <w:pPr>
              <w:spacing w:line="38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B2资金管理</w:t>
            </w:r>
          </w:p>
        </w:tc>
        <w:tc>
          <w:tcPr>
            <w:tcW w:w="865" w:type="dxa"/>
          </w:tcPr>
          <w:p>
            <w:pPr>
              <w:spacing w:line="380" w:lineRule="exact"/>
              <w:ind w:firstLine="360"/>
              <w:jc w:val="center"/>
              <w:rPr>
                <w:rFonts w:ascii="仿宋" w:hAnsi="仿宋" w:eastAsia="仿宋" w:cs="仿宋"/>
                <w:color w:val="auto"/>
                <w:kern w:val="0"/>
                <w:sz w:val="30"/>
                <w:szCs w:val="30"/>
                <w:highlight w:val="none"/>
              </w:rPr>
            </w:pPr>
          </w:p>
        </w:tc>
        <w:tc>
          <w:tcPr>
            <w:tcW w:w="2275" w:type="dxa"/>
          </w:tcPr>
          <w:p>
            <w:pPr>
              <w:spacing w:line="380" w:lineRule="exact"/>
              <w:ind w:firstLine="360"/>
              <w:jc w:val="center"/>
              <w:rPr>
                <w:rFonts w:ascii="仿宋" w:hAnsi="仿宋" w:eastAsia="仿宋" w:cs="仿宋"/>
                <w:color w:val="auto"/>
                <w:kern w:val="0"/>
                <w:sz w:val="30"/>
                <w:szCs w:val="30"/>
                <w:highlight w:val="none"/>
              </w:rPr>
            </w:pPr>
          </w:p>
        </w:tc>
        <w:tc>
          <w:tcPr>
            <w:tcW w:w="1225" w:type="dxa"/>
          </w:tcPr>
          <w:p>
            <w:pPr>
              <w:spacing w:line="38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B2.1资金使用</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6</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合规</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B2.2财务管理</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2</w:t>
            </w:r>
          </w:p>
        </w:tc>
        <w:tc>
          <w:tcPr>
            <w:tcW w:w="2275" w:type="dxa"/>
          </w:tcPr>
          <w:p>
            <w:pPr>
              <w:spacing w:line="380" w:lineRule="exact"/>
              <w:jc w:val="center"/>
              <w:rPr>
                <w:rFonts w:ascii="仿宋" w:hAnsi="仿宋" w:eastAsia="仿宋" w:cs="仿宋"/>
                <w:color w:val="auto"/>
                <w:kern w:val="0"/>
                <w:sz w:val="30"/>
                <w:szCs w:val="30"/>
                <w:highlight w:val="none"/>
              </w:rPr>
            </w:pPr>
            <w:r>
              <w:rPr>
                <w:rFonts w:hint="eastAsia" w:ascii="仿宋" w:hAnsi="仿宋" w:eastAsia="仿宋"/>
                <w:color w:val="auto"/>
                <w:sz w:val="24"/>
                <w:szCs w:val="24"/>
                <w:highlight w:val="none"/>
                <w:lang w:val="en-US" w:eastAsia="zh-CN"/>
              </w:rPr>
              <w:t>规范</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B3组织实施</w:t>
            </w:r>
          </w:p>
        </w:tc>
        <w:tc>
          <w:tcPr>
            <w:tcW w:w="865" w:type="dxa"/>
          </w:tcPr>
          <w:p>
            <w:pPr>
              <w:spacing w:line="380" w:lineRule="exact"/>
              <w:ind w:firstLine="360"/>
              <w:jc w:val="center"/>
              <w:rPr>
                <w:rFonts w:ascii="仿宋" w:hAnsi="仿宋" w:eastAsia="仿宋" w:cs="仿宋"/>
                <w:color w:val="auto"/>
                <w:kern w:val="0"/>
                <w:sz w:val="30"/>
                <w:szCs w:val="30"/>
                <w:highlight w:val="none"/>
              </w:rPr>
            </w:pPr>
          </w:p>
        </w:tc>
        <w:tc>
          <w:tcPr>
            <w:tcW w:w="2275" w:type="dxa"/>
          </w:tcPr>
          <w:p>
            <w:pPr>
              <w:spacing w:line="380" w:lineRule="exact"/>
              <w:ind w:firstLine="360"/>
              <w:jc w:val="center"/>
              <w:rPr>
                <w:rFonts w:ascii="仿宋" w:hAnsi="仿宋" w:eastAsia="仿宋" w:cs="仿宋"/>
                <w:color w:val="auto"/>
                <w:kern w:val="0"/>
                <w:sz w:val="30"/>
                <w:szCs w:val="30"/>
                <w:highlight w:val="none"/>
              </w:rPr>
            </w:pPr>
          </w:p>
        </w:tc>
        <w:tc>
          <w:tcPr>
            <w:tcW w:w="1225" w:type="dxa"/>
          </w:tcPr>
          <w:p>
            <w:pPr>
              <w:spacing w:line="38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B3.1组织机构</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健全</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B3.2管理制度</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2</w:t>
            </w:r>
          </w:p>
        </w:tc>
        <w:tc>
          <w:tcPr>
            <w:tcW w:w="2275" w:type="dxa"/>
          </w:tcPr>
          <w:p>
            <w:pPr>
              <w:spacing w:line="380" w:lineRule="exact"/>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健全</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B3.3资金拨付及时性</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2</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及时</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eastAsia="zh-CN"/>
              </w:rPr>
            </w:pPr>
            <w:r>
              <w:rPr>
                <w:rFonts w:hint="eastAsia" w:ascii="仿宋" w:hAnsi="仿宋" w:eastAsia="仿宋" w:cs="仿宋"/>
                <w:color w:val="auto"/>
                <w:kern w:val="0"/>
                <w:sz w:val="30"/>
                <w:szCs w:val="30"/>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B3.4审核审批</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及时</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B35公示情况</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已公示</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eastAsia="zh-CN"/>
              </w:rPr>
            </w:pPr>
            <w:r>
              <w:rPr>
                <w:rFonts w:hint="eastAsia" w:ascii="仿宋" w:hAnsi="仿宋" w:eastAsia="仿宋" w:cs="仿宋"/>
                <w:color w:val="auto"/>
                <w:kern w:val="0"/>
                <w:sz w:val="30"/>
                <w:szCs w:val="30"/>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B3.6监督检查</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2</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是</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B3.7履约合规性</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w:t>
            </w:r>
          </w:p>
        </w:tc>
        <w:tc>
          <w:tcPr>
            <w:tcW w:w="2275" w:type="dxa"/>
          </w:tcPr>
          <w:p>
            <w:pPr>
              <w:spacing w:line="38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无重大违约情形</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B3.8项目验收</w:t>
            </w:r>
          </w:p>
        </w:tc>
        <w:tc>
          <w:tcPr>
            <w:tcW w:w="865"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w:t>
            </w:r>
          </w:p>
        </w:tc>
        <w:tc>
          <w:tcPr>
            <w:tcW w:w="2275" w:type="dxa"/>
          </w:tcPr>
          <w:p>
            <w:pPr>
              <w:spacing w:line="380" w:lineRule="exact"/>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及时</w:t>
            </w:r>
          </w:p>
        </w:tc>
        <w:tc>
          <w:tcPr>
            <w:tcW w:w="1225" w:type="dxa"/>
          </w:tcPr>
          <w:p>
            <w:pPr>
              <w:spacing w:line="380" w:lineRule="exact"/>
              <w:ind w:firstLine="360"/>
              <w:jc w:val="center"/>
              <w:rPr>
                <w:rFonts w:hint="eastAsia" w:ascii="仿宋" w:hAnsi="仿宋" w:eastAsia="仿宋" w:cs="仿宋"/>
                <w:color w:val="auto"/>
                <w:kern w:val="0"/>
                <w:sz w:val="30"/>
                <w:szCs w:val="30"/>
                <w:highlight w:val="none"/>
                <w:lang w:eastAsia="zh-CN"/>
              </w:rPr>
            </w:pPr>
            <w:r>
              <w:rPr>
                <w:rFonts w:hint="eastAsia" w:ascii="仿宋" w:hAnsi="仿宋" w:eastAsia="仿宋" w:cs="仿宋"/>
                <w:color w:val="auto"/>
                <w:kern w:val="0"/>
                <w:sz w:val="30"/>
                <w:szCs w:val="30"/>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174" w:type="dxa"/>
          </w:tcPr>
          <w:p>
            <w:pPr>
              <w:spacing w:line="38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小计</w:t>
            </w:r>
          </w:p>
        </w:tc>
        <w:tc>
          <w:tcPr>
            <w:tcW w:w="865" w:type="dxa"/>
          </w:tcPr>
          <w:p>
            <w:pPr>
              <w:spacing w:line="38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25</w:t>
            </w:r>
          </w:p>
        </w:tc>
        <w:tc>
          <w:tcPr>
            <w:tcW w:w="2275" w:type="dxa"/>
          </w:tcPr>
          <w:p>
            <w:pPr>
              <w:spacing w:line="380" w:lineRule="exact"/>
              <w:ind w:firstLine="360"/>
              <w:jc w:val="center"/>
              <w:rPr>
                <w:rFonts w:ascii="仿宋" w:hAnsi="仿宋" w:eastAsia="仿宋" w:cs="仿宋"/>
                <w:color w:val="auto"/>
                <w:kern w:val="0"/>
                <w:sz w:val="30"/>
                <w:szCs w:val="30"/>
                <w:highlight w:val="none"/>
              </w:rPr>
            </w:pPr>
          </w:p>
        </w:tc>
        <w:tc>
          <w:tcPr>
            <w:tcW w:w="1225" w:type="dxa"/>
          </w:tcPr>
          <w:p>
            <w:pPr>
              <w:spacing w:line="38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22</w:t>
            </w:r>
          </w:p>
        </w:tc>
      </w:tr>
    </w:tbl>
    <w:p>
      <w:pPr>
        <w:spacing w:line="560" w:lineRule="exact"/>
        <w:rPr>
          <w:rFonts w:ascii="仿宋" w:hAnsi="仿宋" w:eastAsia="仿宋" w:cs="仿宋"/>
          <w:color w:val="auto"/>
          <w:sz w:val="32"/>
          <w:szCs w:val="32"/>
          <w:highlight w:val="none"/>
        </w:rPr>
      </w:pP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B1资金落实</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B1.1资金到位率</w:t>
      </w:r>
    </w:p>
    <w:p>
      <w:pPr>
        <w:spacing w:line="560" w:lineRule="exact"/>
        <w:ind w:firstLine="640" w:firstLineChars="200"/>
        <w:jc w:val="left"/>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项目经费按专项资金预算数拨付，拨付金额即到位金额。因此，评价认为项目资金到位率指标目标值实现。</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B1.2预算执行率</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根据《赣州蓉江新区政府采购计划备案表》，采购计划总金额60万元，实际执行82.92万元，超出预算22.92万元，预算执行率138.20%。</w:t>
      </w:r>
    </w:p>
    <w:p>
      <w:pPr>
        <w:ind w:firstLine="640" w:firstLineChars="200"/>
        <w:rPr>
          <w:rFonts w:hint="default" w:ascii="仿宋" w:hAnsi="仿宋" w:eastAsia="仿宋" w:cs="仿宋"/>
          <w:color w:val="auto"/>
          <w:sz w:val="32"/>
          <w:szCs w:val="32"/>
          <w:highlight w:val="none"/>
          <w:lang w:val="en-US"/>
        </w:rPr>
      </w:pPr>
      <w:r>
        <w:rPr>
          <w:rFonts w:hint="eastAsia" w:ascii="仿宋" w:hAnsi="仿宋" w:eastAsia="仿宋" w:cs="仿宋"/>
          <w:color w:val="auto"/>
          <w:sz w:val="32"/>
          <w:szCs w:val="32"/>
          <w:highlight w:val="none"/>
          <w:lang w:val="en-US" w:eastAsia="zh-CN"/>
        </w:rPr>
        <w:t>按照保险协议约定第七条计算，如赔付款、应交税金、运营费等费用合计超出本年保费，则超出部分由区农办承担40%，中国人保承担60%，超出费用合计573006元，区农办承担超出费用的40%为229202.40元。预算不够准确。</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B2资金管理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B2.1资金使用</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根据抽取的保险申请资料，可以看到资金的拨付有完整的审批程序和手续，项目资金建立了明细台账，银行回单资金用途清晰，收款人与保险申请人相匹配。</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val="en-US" w:eastAsia="zh-CN"/>
        </w:rPr>
        <w:t>资金使用指标目标值实现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该项指标满分6分，根据评分标准得</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B2.2财务管理</w:t>
      </w:r>
    </w:p>
    <w:p>
      <w:pPr>
        <w:ind w:firstLine="640" w:firstLineChars="200"/>
        <w:rPr>
          <w:rFonts w:ascii="仿宋" w:hAnsi="仿宋" w:eastAsia="仿宋" w:cs="仿宋"/>
          <w:color w:val="auto"/>
          <w:sz w:val="32"/>
          <w:szCs w:val="32"/>
          <w:highlight w:val="none"/>
        </w:rPr>
      </w:pPr>
      <w:r>
        <w:rPr>
          <w:rFonts w:hint="eastAsia" w:ascii="仿宋" w:hAnsi="仿宋" w:eastAsia="仿宋"/>
          <w:color w:val="auto"/>
          <w:sz w:val="32"/>
          <w:szCs w:val="32"/>
          <w:highlight w:val="none"/>
          <w:lang w:val="en-US" w:eastAsia="zh-CN"/>
        </w:rPr>
        <w:t>项目依据《赣州蓉江新区2022年精准防贫保险工作方案》（赣蓉振领办字〔2022〕16号）开展工作，文件明确了防贫保险赔付标准、核查时效、支付流程等财务管理制度。</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s="仿宋"/>
          <w:color w:val="auto"/>
          <w:sz w:val="32"/>
          <w:szCs w:val="32"/>
          <w:highlight w:val="none"/>
        </w:rPr>
        <w:t>项目财务管理指标</w:t>
      </w:r>
      <w:r>
        <w:rPr>
          <w:rFonts w:hint="eastAsia" w:ascii="仿宋" w:hAnsi="仿宋" w:eastAsia="仿宋" w:cs="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该项指标满分2分，根据评分标准得</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B3组织实施</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B3.1组织机构</w:t>
      </w:r>
    </w:p>
    <w:p>
      <w:pPr>
        <w:numPr>
          <w:ilvl w:val="0"/>
          <w:numId w:val="0"/>
        </w:numPr>
        <w:ind w:left="0" w:leftChars="0"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项目按照《赣州蓉江新区精准防返贫保险协议》，由防贫保险对象所在的村（居）委会初审、所在镇（管理处）复核、区乡村振兴局审定。</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olor w:val="auto"/>
          <w:sz w:val="32"/>
          <w:szCs w:val="32"/>
          <w:highlight w:val="none"/>
        </w:rPr>
        <w:t>组织机构指标</w:t>
      </w:r>
      <w:r>
        <w:rPr>
          <w:rFonts w:hint="eastAsia" w:ascii="仿宋" w:hAnsi="仿宋" w:eastAsia="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该项指标满分1分，根据评分标准得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B3.2管理制度</w:t>
      </w:r>
    </w:p>
    <w:p>
      <w:pPr>
        <w:ind w:firstLine="640" w:firstLineChars="200"/>
        <w:rPr>
          <w:rFonts w:ascii="仿宋" w:hAnsi="仿宋" w:eastAsia="仿宋" w:cs="仿宋"/>
          <w:color w:val="auto"/>
          <w:sz w:val="32"/>
          <w:szCs w:val="32"/>
          <w:highlight w:val="none"/>
        </w:rPr>
      </w:pPr>
      <w:r>
        <w:rPr>
          <w:rFonts w:hint="eastAsia" w:ascii="仿宋" w:hAnsi="仿宋" w:eastAsia="仿宋"/>
          <w:color w:val="auto"/>
          <w:sz w:val="32"/>
          <w:szCs w:val="32"/>
          <w:highlight w:val="none"/>
          <w:lang w:val="en-US" w:eastAsia="zh-CN"/>
        </w:rPr>
        <w:t>项目依据《赣州蓉江新区2022年精准防贫保险工作方案》（赣蓉振领办字〔2022〕16号）开展工作，文件明确了防贫保险村镇申报、案件查勘、资金赔付等管理制度</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s="仿宋"/>
          <w:color w:val="auto"/>
          <w:sz w:val="32"/>
          <w:szCs w:val="32"/>
          <w:highlight w:val="none"/>
        </w:rPr>
        <w:t>项目管理</w:t>
      </w:r>
      <w:r>
        <w:rPr>
          <w:rFonts w:hint="eastAsia" w:ascii="仿宋" w:hAnsi="仿宋" w:eastAsia="仿宋" w:cs="仿宋"/>
          <w:color w:val="auto"/>
          <w:sz w:val="32"/>
          <w:szCs w:val="32"/>
          <w:highlight w:val="none"/>
          <w:lang w:val="en-US" w:eastAsia="zh-CN"/>
        </w:rPr>
        <w:t>制度</w:t>
      </w:r>
      <w:r>
        <w:rPr>
          <w:rFonts w:hint="eastAsia" w:ascii="仿宋" w:hAnsi="仿宋" w:eastAsia="仿宋" w:cs="仿宋"/>
          <w:color w:val="auto"/>
          <w:sz w:val="32"/>
          <w:szCs w:val="32"/>
          <w:highlight w:val="none"/>
        </w:rPr>
        <w:t>指标</w:t>
      </w:r>
      <w:r>
        <w:rPr>
          <w:rFonts w:hint="eastAsia" w:ascii="仿宋" w:hAnsi="仿宋" w:eastAsia="仿宋" w:cs="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该项指标满分2分，根据评分标准得</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B3.3资金拨付及时性</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olor w:val="auto"/>
          <w:sz w:val="32"/>
          <w:szCs w:val="32"/>
          <w:highlight w:val="none"/>
          <w:lang w:val="en-US" w:eastAsia="zh-CN"/>
        </w:rPr>
        <w:t>项目按照《赣州蓉江新区精准防返贫保险协议》，保险公司应在核查结束后3个工作日内给予支付，如遇特殊情况可适当延长时间，但最长不超过7个工作日。我们抽取了保险申请单、银行回单，审批日期与付款日期间隔7个工作日以内。</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s="仿宋"/>
          <w:color w:val="auto"/>
          <w:sz w:val="32"/>
          <w:szCs w:val="32"/>
          <w:highlight w:val="none"/>
        </w:rPr>
        <w:t>项目资金拨付及时性指标</w:t>
      </w:r>
      <w:r>
        <w:rPr>
          <w:rFonts w:hint="eastAsia" w:ascii="仿宋" w:hAnsi="仿宋" w:eastAsia="仿宋" w:cs="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该项指标满分2分，根据评分标准得</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B3.4审核审批</w:t>
      </w:r>
    </w:p>
    <w:p>
      <w:pPr>
        <w:numPr>
          <w:ilvl w:val="0"/>
          <w:numId w:val="0"/>
        </w:numPr>
        <w:ind w:left="0" w:leftChars="0"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项目按照《赣州蓉江新区精准防返贫保险协议》，保险公司在接到区乡村振兴局的保险申请后，在3天内开展案件查勘工作，并于区内3个工作日、区外7个工作日内完成核查工作，如遇特殊情况可适当延长核查时间。</w:t>
      </w:r>
      <w:r>
        <w:rPr>
          <w:rFonts w:hint="eastAsia" w:ascii="仿宋" w:hAnsi="仿宋" w:eastAsia="仿宋" w:cs="仿宋"/>
          <w:color w:val="auto"/>
          <w:sz w:val="32"/>
          <w:szCs w:val="32"/>
          <w:highlight w:val="none"/>
          <w:lang w:val="en-US" w:eastAsia="zh-CN"/>
        </w:rPr>
        <w:t>根据抽取的保险申请资料，保险公司已按协议约定的核查期限完成了核查工作</w:t>
      </w:r>
      <w:r>
        <w:rPr>
          <w:rFonts w:hint="eastAsia" w:ascii="仿宋" w:hAnsi="仿宋" w:eastAsia="仿宋"/>
          <w:color w:val="auto"/>
          <w:sz w:val="32"/>
          <w:szCs w:val="32"/>
          <w:highlight w:val="none"/>
          <w:lang w:val="en-US" w:eastAsia="zh-CN"/>
        </w:rPr>
        <w:t>。</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olor w:val="auto"/>
          <w:sz w:val="32"/>
          <w:szCs w:val="32"/>
          <w:highlight w:val="none"/>
          <w:lang w:val="en-US" w:eastAsia="zh-CN"/>
        </w:rPr>
        <w:t>审核审批</w:t>
      </w:r>
      <w:r>
        <w:rPr>
          <w:rFonts w:hint="eastAsia" w:ascii="仿宋" w:hAnsi="仿宋" w:eastAsia="仿宋"/>
          <w:color w:val="auto"/>
          <w:sz w:val="32"/>
          <w:szCs w:val="32"/>
          <w:highlight w:val="none"/>
        </w:rPr>
        <w:t>指标</w:t>
      </w:r>
      <w:r>
        <w:rPr>
          <w:rFonts w:hint="eastAsia" w:ascii="仿宋" w:hAnsi="仿宋" w:eastAsia="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该项指标满分1分，根据评分标准得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B3.5公示情况</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根据抽取的保险申请资料，项目公示了救助对象、家庭人口、申报类别、公示期等信息。</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s="仿宋"/>
          <w:color w:val="auto"/>
          <w:sz w:val="32"/>
          <w:szCs w:val="32"/>
          <w:highlight w:val="none"/>
        </w:rPr>
        <w:t>项目公示情况指标</w:t>
      </w:r>
      <w:r>
        <w:rPr>
          <w:rFonts w:hint="eastAsia" w:ascii="仿宋" w:hAnsi="仿宋" w:eastAsia="仿宋" w:cs="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该项指标满分1分，根据评分标准得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B3.6监督检查</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根据抽取的保险申请资料，</w:t>
      </w:r>
      <w:r>
        <w:rPr>
          <w:rFonts w:hint="eastAsia" w:ascii="仿宋" w:hAnsi="仿宋" w:eastAsia="仿宋"/>
          <w:color w:val="auto"/>
          <w:sz w:val="32"/>
          <w:szCs w:val="32"/>
          <w:highlight w:val="none"/>
          <w:lang w:val="en-US" w:eastAsia="zh-CN"/>
        </w:rPr>
        <w:t>防贫保险对象所在地所在镇（管理处）、区乡村振兴局</w:t>
      </w:r>
      <w:r>
        <w:rPr>
          <w:rFonts w:hint="eastAsia" w:ascii="仿宋" w:hAnsi="仿宋" w:eastAsia="仿宋" w:cs="仿宋"/>
          <w:color w:val="auto"/>
          <w:sz w:val="32"/>
          <w:szCs w:val="32"/>
          <w:highlight w:val="none"/>
        </w:rPr>
        <w:t>对项目实施进行</w:t>
      </w:r>
      <w:r>
        <w:rPr>
          <w:rFonts w:hint="eastAsia" w:ascii="仿宋" w:hAnsi="仿宋" w:eastAsia="仿宋" w:cs="仿宋"/>
          <w:color w:val="auto"/>
          <w:sz w:val="32"/>
          <w:szCs w:val="32"/>
          <w:highlight w:val="none"/>
          <w:lang w:val="en-US" w:eastAsia="zh-CN"/>
        </w:rPr>
        <w:t>了</w:t>
      </w:r>
      <w:r>
        <w:rPr>
          <w:rFonts w:hint="eastAsia" w:ascii="仿宋" w:hAnsi="仿宋" w:eastAsia="仿宋" w:cs="仿宋"/>
          <w:color w:val="auto"/>
          <w:sz w:val="32"/>
          <w:szCs w:val="32"/>
          <w:highlight w:val="none"/>
        </w:rPr>
        <w:t>相关监督检查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s="仿宋"/>
          <w:color w:val="auto"/>
          <w:sz w:val="32"/>
          <w:szCs w:val="32"/>
          <w:highlight w:val="none"/>
        </w:rPr>
        <w:t>项目监督检查指标</w:t>
      </w:r>
      <w:r>
        <w:rPr>
          <w:rFonts w:hint="eastAsia" w:ascii="仿宋" w:hAnsi="仿宋" w:eastAsia="仿宋" w:cs="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该项指标满分2分，根据评分标准得</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B3.7履约合规性</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根据</w:t>
      </w:r>
      <w:r>
        <w:rPr>
          <w:rFonts w:hint="eastAsia" w:ascii="仿宋" w:hAnsi="仿宋" w:eastAsia="仿宋" w:cs="仿宋"/>
          <w:color w:val="auto"/>
          <w:sz w:val="32"/>
          <w:szCs w:val="32"/>
          <w:highlight w:val="none"/>
        </w:rPr>
        <w:t>项目实施的招投标文件、</w:t>
      </w:r>
      <w:r>
        <w:rPr>
          <w:rFonts w:hint="eastAsia" w:ascii="仿宋" w:hAnsi="仿宋" w:eastAsia="仿宋" w:cs="仿宋"/>
          <w:color w:val="auto"/>
          <w:sz w:val="32"/>
          <w:szCs w:val="32"/>
          <w:highlight w:val="none"/>
          <w:lang w:val="en-US" w:eastAsia="zh-CN"/>
        </w:rPr>
        <w:t>保险协议、保单</w:t>
      </w:r>
      <w:r>
        <w:rPr>
          <w:rFonts w:hint="eastAsia" w:ascii="仿宋" w:hAnsi="仿宋" w:eastAsia="仿宋" w:cs="仿宋"/>
          <w:color w:val="auto"/>
          <w:sz w:val="32"/>
          <w:szCs w:val="32"/>
          <w:highlight w:val="none"/>
        </w:rPr>
        <w:t>等相关资料</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保险公司已履约进行赔付</w:t>
      </w:r>
      <w:r>
        <w:rPr>
          <w:rFonts w:hint="eastAsia" w:ascii="仿宋" w:hAnsi="仿宋" w:eastAsia="仿宋" w:cs="仿宋"/>
          <w:color w:val="auto"/>
          <w:sz w:val="32"/>
          <w:szCs w:val="32"/>
          <w:highlight w:val="none"/>
        </w:rPr>
        <w:t>。因此，</w:t>
      </w:r>
      <w:r>
        <w:rPr>
          <w:rFonts w:hint="eastAsia" w:ascii="仿宋" w:hAnsi="仿宋" w:eastAsia="仿宋" w:cs="仿宋"/>
          <w:color w:val="auto"/>
          <w:sz w:val="32"/>
          <w:szCs w:val="32"/>
          <w:highlight w:val="none"/>
          <w:lang w:val="en-US" w:eastAsia="zh-CN"/>
        </w:rPr>
        <w:t>评价认为</w:t>
      </w:r>
      <w:r>
        <w:rPr>
          <w:rFonts w:hint="eastAsia" w:ascii="仿宋" w:hAnsi="仿宋" w:eastAsia="仿宋" w:cs="仿宋"/>
          <w:color w:val="auto"/>
          <w:sz w:val="32"/>
          <w:szCs w:val="32"/>
          <w:highlight w:val="none"/>
        </w:rPr>
        <w:t>项目履约合规性指标</w:t>
      </w:r>
      <w:r>
        <w:rPr>
          <w:rFonts w:hint="eastAsia" w:ascii="仿宋" w:hAnsi="仿宋" w:eastAsia="仿宋" w:cs="仿宋"/>
          <w:color w:val="auto"/>
          <w:sz w:val="32"/>
          <w:szCs w:val="32"/>
          <w:highlight w:val="none"/>
          <w:lang w:val="en-US" w:eastAsia="zh-CN"/>
        </w:rPr>
        <w:t>目标值实现</w:t>
      </w:r>
      <w:r>
        <w:rPr>
          <w:rFonts w:hint="eastAsia" w:ascii="仿宋" w:hAnsi="仿宋" w:eastAsia="仿宋" w:cs="仿宋"/>
          <w:color w:val="auto"/>
          <w:sz w:val="32"/>
          <w:szCs w:val="32"/>
          <w:highlight w:val="none"/>
        </w:rPr>
        <w:t>。</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该项指标满分1分，根据评分标准得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B3.8项目验收</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项目期限2022年1月1日至2022年12月31日止，区农办与保险公司结算验收，2023年3月20日支付保险超出部分费用22.92万元。</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该项指标满分1分，根据评分标准得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spacing w:line="560" w:lineRule="exact"/>
        <w:ind w:firstLine="643" w:firstLineChars="200"/>
        <w:jc w:val="left"/>
        <w:outlineLvl w:val="1"/>
        <w:rPr>
          <w:rFonts w:ascii="仿宋" w:hAnsi="仿宋" w:eastAsia="仿宋" w:cs="仿宋"/>
          <w:b/>
          <w:color w:val="auto"/>
          <w:sz w:val="32"/>
          <w:szCs w:val="32"/>
          <w:highlight w:val="none"/>
        </w:rPr>
      </w:pPr>
      <w:bookmarkStart w:id="15" w:name="_Toc65"/>
      <w:r>
        <w:rPr>
          <w:rFonts w:hint="eastAsia" w:ascii="仿宋" w:hAnsi="仿宋" w:eastAsia="仿宋" w:cs="仿宋"/>
          <w:b/>
          <w:color w:val="auto"/>
          <w:sz w:val="32"/>
          <w:szCs w:val="32"/>
          <w:highlight w:val="none"/>
        </w:rPr>
        <w:t>3.3项目产出性指标类</w:t>
      </w:r>
      <w:bookmarkEnd w:id="15"/>
    </w:p>
    <w:p>
      <w:pPr>
        <w:spacing w:line="560" w:lineRule="exact"/>
        <w:ind w:firstLine="56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产出性指标类由4个二级指标和5个三级指标构成，权重分为32分，实际得分</w:t>
      </w:r>
      <w:r>
        <w:rPr>
          <w:rFonts w:hint="eastAsia" w:ascii="仿宋" w:hAnsi="仿宋" w:eastAsia="仿宋" w:cs="仿宋"/>
          <w:color w:val="auto"/>
          <w:sz w:val="32"/>
          <w:szCs w:val="32"/>
          <w:highlight w:val="none"/>
          <w:lang w:val="en-US" w:eastAsia="zh-CN"/>
        </w:rPr>
        <w:t>32</w:t>
      </w:r>
      <w:r>
        <w:rPr>
          <w:rFonts w:hint="eastAsia" w:ascii="仿宋" w:hAnsi="仿宋" w:eastAsia="仿宋" w:cs="仿宋"/>
          <w:color w:val="auto"/>
          <w:sz w:val="32"/>
          <w:szCs w:val="32"/>
          <w:highlight w:val="none"/>
        </w:rPr>
        <w:t>分，得分率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p>
    <w:p>
      <w:pPr>
        <w:spacing w:line="560" w:lineRule="exact"/>
        <w:ind w:firstLine="643" w:firstLineChars="200"/>
        <w:jc w:val="left"/>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C.产出性指标</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主要考察项目实施后从数量、质量、时效和成本四个维度的达标情况，实现项目既定目标的程度。</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各指标业绩值和实际得分详见表3-3。</w:t>
      </w:r>
    </w:p>
    <w:p>
      <w:pPr>
        <w:spacing w:line="560" w:lineRule="exact"/>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表3-3产出性指标评分表</w:t>
      </w:r>
    </w:p>
    <w:tbl>
      <w:tblPr>
        <w:tblStyle w:val="11"/>
        <w:tblW w:w="8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3"/>
        <w:gridCol w:w="943"/>
        <w:gridCol w:w="2262"/>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4263" w:type="dxa"/>
            <w:vAlign w:val="center"/>
          </w:tcPr>
          <w:p>
            <w:pPr>
              <w:spacing w:line="3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指标名称</w:t>
            </w:r>
          </w:p>
        </w:tc>
        <w:tc>
          <w:tcPr>
            <w:tcW w:w="943" w:type="dxa"/>
            <w:vAlign w:val="center"/>
          </w:tcPr>
          <w:p>
            <w:pPr>
              <w:spacing w:line="32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w:t>
            </w:r>
          </w:p>
          <w:p>
            <w:pPr>
              <w:spacing w:line="32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权重</w:t>
            </w:r>
          </w:p>
        </w:tc>
        <w:tc>
          <w:tcPr>
            <w:tcW w:w="2262" w:type="dxa"/>
            <w:vAlign w:val="center"/>
          </w:tcPr>
          <w:p>
            <w:pPr>
              <w:spacing w:line="32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业绩值</w:t>
            </w:r>
          </w:p>
        </w:tc>
        <w:tc>
          <w:tcPr>
            <w:tcW w:w="931" w:type="dxa"/>
            <w:vAlign w:val="center"/>
          </w:tcPr>
          <w:p>
            <w:pPr>
              <w:spacing w:line="32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实际</w:t>
            </w:r>
          </w:p>
          <w:p>
            <w:pPr>
              <w:spacing w:line="32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C1数量指标</w:t>
            </w:r>
          </w:p>
        </w:tc>
        <w:tc>
          <w:tcPr>
            <w:tcW w:w="943" w:type="dxa"/>
          </w:tcPr>
          <w:p>
            <w:pPr>
              <w:spacing w:line="3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c>
          <w:tcPr>
            <w:tcW w:w="2262"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达标</w:t>
            </w:r>
          </w:p>
        </w:tc>
        <w:tc>
          <w:tcPr>
            <w:tcW w:w="931"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hint="default" w:ascii="仿宋" w:hAnsi="仿宋" w:eastAsia="仿宋" w:cs="仿宋"/>
                <w:color w:val="auto"/>
                <w:kern w:val="0"/>
                <w:sz w:val="30"/>
                <w:szCs w:val="30"/>
                <w:highlight w:val="none"/>
                <w:lang w:val="en-US"/>
              </w:rPr>
            </w:pPr>
            <w:r>
              <w:rPr>
                <w:rFonts w:hint="eastAsia" w:ascii="仿宋" w:hAnsi="仿宋" w:eastAsia="仿宋" w:cs="仿宋"/>
                <w:color w:val="auto"/>
                <w:kern w:val="0"/>
                <w:sz w:val="30"/>
                <w:szCs w:val="30"/>
                <w:highlight w:val="none"/>
              </w:rPr>
              <w:t>C2质量指标</w:t>
            </w:r>
          </w:p>
        </w:tc>
        <w:tc>
          <w:tcPr>
            <w:tcW w:w="943" w:type="dxa"/>
          </w:tcPr>
          <w:p>
            <w:pPr>
              <w:spacing w:line="3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c>
          <w:tcPr>
            <w:tcW w:w="2262"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达标</w:t>
            </w:r>
          </w:p>
        </w:tc>
        <w:tc>
          <w:tcPr>
            <w:tcW w:w="931"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C3时效指标</w:t>
            </w:r>
          </w:p>
        </w:tc>
        <w:tc>
          <w:tcPr>
            <w:tcW w:w="943" w:type="dxa"/>
          </w:tcPr>
          <w:p>
            <w:pPr>
              <w:spacing w:line="3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c>
          <w:tcPr>
            <w:tcW w:w="2262"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及时</w:t>
            </w:r>
          </w:p>
        </w:tc>
        <w:tc>
          <w:tcPr>
            <w:tcW w:w="931" w:type="dxa"/>
          </w:tcPr>
          <w:p>
            <w:pPr>
              <w:spacing w:line="3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C4成本指标</w:t>
            </w:r>
          </w:p>
        </w:tc>
        <w:tc>
          <w:tcPr>
            <w:tcW w:w="943" w:type="dxa"/>
          </w:tcPr>
          <w:p>
            <w:pPr>
              <w:spacing w:line="32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c>
          <w:tcPr>
            <w:tcW w:w="2262"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达标</w:t>
            </w:r>
          </w:p>
        </w:tc>
        <w:tc>
          <w:tcPr>
            <w:tcW w:w="931"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rPr>
              <w:t>小计</w:t>
            </w:r>
          </w:p>
        </w:tc>
        <w:tc>
          <w:tcPr>
            <w:tcW w:w="943" w:type="dxa"/>
          </w:tcPr>
          <w:p>
            <w:pPr>
              <w:spacing w:line="320" w:lineRule="exact"/>
              <w:ind w:firstLine="360"/>
              <w:jc w:val="center"/>
              <w:rPr>
                <w:rFonts w:hint="eastAsia"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32</w:t>
            </w:r>
          </w:p>
        </w:tc>
        <w:tc>
          <w:tcPr>
            <w:tcW w:w="2262" w:type="dxa"/>
          </w:tcPr>
          <w:p>
            <w:pPr>
              <w:spacing w:line="320" w:lineRule="exact"/>
              <w:ind w:firstLine="360"/>
              <w:jc w:val="center"/>
              <w:rPr>
                <w:rFonts w:ascii="仿宋" w:hAnsi="仿宋" w:eastAsia="仿宋" w:cs="仿宋"/>
                <w:color w:val="auto"/>
                <w:kern w:val="0"/>
                <w:sz w:val="30"/>
                <w:szCs w:val="30"/>
                <w:highlight w:val="none"/>
              </w:rPr>
            </w:pPr>
          </w:p>
        </w:tc>
        <w:tc>
          <w:tcPr>
            <w:tcW w:w="931" w:type="dxa"/>
          </w:tcPr>
          <w:p>
            <w:pPr>
              <w:spacing w:line="32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32</w:t>
            </w:r>
          </w:p>
        </w:tc>
      </w:tr>
    </w:tbl>
    <w:p>
      <w:pPr>
        <w:rPr>
          <w:rFonts w:ascii="仿宋" w:hAnsi="仿宋" w:eastAsia="仿宋"/>
          <w:color w:val="auto"/>
          <w:sz w:val="32"/>
          <w:szCs w:val="32"/>
          <w:highlight w:val="none"/>
        </w:rPr>
      </w:pP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C1数量指标</w:t>
      </w:r>
    </w:p>
    <w:p>
      <w:pPr>
        <w:ind w:firstLine="640" w:firstLineChars="200"/>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区农办计划投保人数5000人，实际投保5000人。</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该项指标满分8分，根据评分标准得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C2质量指标</w:t>
      </w:r>
    </w:p>
    <w:p>
      <w:pPr>
        <w:ind w:firstLine="640" w:firstLineChars="200"/>
        <w:rPr>
          <w:rFonts w:hint="default"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对符合条件的申报农户，按照赔付标准应赔尽赔，保险申报数54户，2022年全区理赔共计54户1035495元，保险赔付对象准确率100%。</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分，根据评分标准得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ind w:firstLine="640" w:firstLineChars="200"/>
        <w:rPr>
          <w:rFonts w:ascii="仿宋" w:hAnsi="仿宋" w:eastAsia="仿宋" w:cs="仿宋"/>
          <w:color w:val="auto"/>
          <w:sz w:val="32"/>
          <w:szCs w:val="32"/>
          <w:highlight w:val="none"/>
        </w:rPr>
      </w:pPr>
      <w:r>
        <w:rPr>
          <w:rFonts w:hint="eastAsia" w:ascii="仿宋" w:hAnsi="仿宋" w:eastAsia="仿宋"/>
          <w:color w:val="auto"/>
          <w:sz w:val="32"/>
          <w:szCs w:val="32"/>
          <w:highlight w:val="none"/>
        </w:rPr>
        <w:t>C3</w:t>
      </w:r>
      <w:r>
        <w:rPr>
          <w:rFonts w:hint="eastAsia" w:ascii="仿宋" w:hAnsi="仿宋" w:eastAsia="仿宋" w:cs="仿宋"/>
          <w:color w:val="auto"/>
          <w:sz w:val="32"/>
          <w:szCs w:val="32"/>
          <w:highlight w:val="none"/>
        </w:rPr>
        <w:t>时效指标</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农户提出申请、递交相关佐证材料到完成赔付时限在30日内完成。</w:t>
      </w:r>
    </w:p>
    <w:p>
      <w:pPr>
        <w:ind w:firstLine="640" w:firstLineChars="200"/>
        <w:rPr>
          <w:rFonts w:ascii="仿宋" w:hAnsi="仿宋" w:eastAsia="仿宋"/>
          <w:color w:val="auto"/>
          <w:sz w:val="32"/>
          <w:szCs w:val="32"/>
          <w:highlight w:val="none"/>
        </w:rPr>
      </w:pPr>
      <w:r>
        <w:rPr>
          <w:rFonts w:hint="eastAsia" w:ascii="仿宋" w:hAnsi="仿宋" w:eastAsia="仿宋" w:cs="仿宋"/>
          <w:color w:val="auto"/>
          <w:sz w:val="32"/>
          <w:szCs w:val="32"/>
          <w:highlight w:val="none"/>
        </w:rPr>
        <w:t>该项指标满分8分，根据评分标准得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C4成本指标</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项目计划成本120元/人，实际采购成本120元/人，成本准确率100%。</w:t>
      </w:r>
    </w:p>
    <w:p>
      <w:pPr>
        <w:ind w:firstLine="640" w:firstLineChars="200"/>
        <w:rPr>
          <w:rFonts w:ascii="仿宋" w:hAnsi="仿宋" w:eastAsia="仿宋" w:cs="仿宋"/>
          <w:b/>
          <w:color w:val="auto"/>
          <w:sz w:val="32"/>
          <w:szCs w:val="32"/>
          <w:highlight w:val="none"/>
        </w:rPr>
      </w:pPr>
      <w:r>
        <w:rPr>
          <w:rFonts w:hint="eastAsia" w:ascii="仿宋" w:hAnsi="仿宋" w:eastAsia="仿宋" w:cs="仿宋"/>
          <w:color w:val="auto"/>
          <w:sz w:val="32"/>
          <w:szCs w:val="32"/>
          <w:highlight w:val="none"/>
        </w:rPr>
        <w:t>该项指标满分8分，根据评分标准得</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分。</w:t>
      </w:r>
    </w:p>
    <w:p>
      <w:pPr>
        <w:spacing w:line="560" w:lineRule="exact"/>
        <w:ind w:firstLine="643" w:firstLineChars="200"/>
        <w:jc w:val="left"/>
        <w:outlineLvl w:val="1"/>
        <w:rPr>
          <w:rFonts w:ascii="仿宋" w:hAnsi="仿宋" w:eastAsia="仿宋" w:cs="仿宋"/>
          <w:b/>
          <w:color w:val="auto"/>
          <w:sz w:val="32"/>
          <w:szCs w:val="32"/>
          <w:highlight w:val="none"/>
        </w:rPr>
      </w:pPr>
      <w:bookmarkStart w:id="16" w:name="_Toc17510"/>
      <w:r>
        <w:rPr>
          <w:rFonts w:hint="eastAsia" w:ascii="仿宋" w:hAnsi="仿宋" w:eastAsia="仿宋" w:cs="仿宋"/>
          <w:b/>
          <w:color w:val="auto"/>
          <w:sz w:val="32"/>
          <w:szCs w:val="32"/>
          <w:highlight w:val="none"/>
        </w:rPr>
        <w:t>3.4项目效果性指标类</w:t>
      </w:r>
      <w:bookmarkEnd w:id="16"/>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效果性指标类由2个二级指标和4个三级指标构成，权重分为28分，实际得分</w:t>
      </w:r>
      <w:r>
        <w:rPr>
          <w:rFonts w:hint="eastAsia" w:ascii="仿宋" w:hAnsi="仿宋" w:eastAsia="仿宋" w:cs="仿宋"/>
          <w:color w:val="auto"/>
          <w:sz w:val="32"/>
          <w:szCs w:val="32"/>
          <w:highlight w:val="none"/>
          <w:lang w:val="en-US" w:eastAsia="zh-CN"/>
        </w:rPr>
        <w:t>28</w:t>
      </w:r>
      <w:r>
        <w:rPr>
          <w:rFonts w:hint="eastAsia" w:ascii="仿宋" w:hAnsi="仿宋" w:eastAsia="仿宋" w:cs="仿宋"/>
          <w:color w:val="auto"/>
          <w:sz w:val="32"/>
          <w:szCs w:val="32"/>
          <w:highlight w:val="none"/>
        </w:rPr>
        <w:t>分，得分率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p>
    <w:p>
      <w:pPr>
        <w:spacing w:line="560" w:lineRule="exact"/>
        <w:ind w:firstLine="643" w:firstLineChars="200"/>
        <w:jc w:val="left"/>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D.效果性指标</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主要考察项目实施产生的经济效益和社会效益，受助对象的获益程度和满意度，评价项目的可持续影响。</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各指标业绩值和实际得分详见表3-4。</w:t>
      </w:r>
    </w:p>
    <w:p>
      <w:pPr>
        <w:spacing w:line="560" w:lineRule="exact"/>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表3-4效果性指标评分表</w:t>
      </w:r>
    </w:p>
    <w:tbl>
      <w:tblPr>
        <w:tblStyle w:val="11"/>
        <w:tblW w:w="8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25"/>
        <w:gridCol w:w="1157"/>
        <w:gridCol w:w="1945"/>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4125"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指标名称</w:t>
            </w:r>
          </w:p>
        </w:tc>
        <w:tc>
          <w:tcPr>
            <w:tcW w:w="1157" w:type="dxa"/>
          </w:tcPr>
          <w:p>
            <w:pPr>
              <w:spacing w:line="36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指标</w:t>
            </w:r>
          </w:p>
          <w:p>
            <w:pPr>
              <w:spacing w:line="36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权重</w:t>
            </w:r>
          </w:p>
        </w:tc>
        <w:tc>
          <w:tcPr>
            <w:tcW w:w="1945"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业绩值</w:t>
            </w:r>
          </w:p>
        </w:tc>
        <w:tc>
          <w:tcPr>
            <w:tcW w:w="1211" w:type="dxa"/>
          </w:tcPr>
          <w:p>
            <w:pPr>
              <w:spacing w:line="36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实际</w:t>
            </w:r>
          </w:p>
          <w:p>
            <w:pPr>
              <w:spacing w:line="360" w:lineRule="exac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4125" w:type="dxa"/>
          </w:tcPr>
          <w:p>
            <w:pPr>
              <w:spacing w:line="36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D1项目效益</w:t>
            </w:r>
          </w:p>
        </w:tc>
        <w:tc>
          <w:tcPr>
            <w:tcW w:w="1157" w:type="dxa"/>
          </w:tcPr>
          <w:p>
            <w:pPr>
              <w:spacing w:line="360" w:lineRule="exact"/>
              <w:ind w:firstLine="360"/>
              <w:jc w:val="center"/>
              <w:rPr>
                <w:rFonts w:ascii="仿宋" w:hAnsi="仿宋" w:eastAsia="仿宋" w:cs="仿宋"/>
                <w:color w:val="auto"/>
                <w:kern w:val="0"/>
                <w:sz w:val="30"/>
                <w:szCs w:val="30"/>
                <w:highlight w:val="none"/>
              </w:rPr>
            </w:pPr>
          </w:p>
        </w:tc>
        <w:tc>
          <w:tcPr>
            <w:tcW w:w="1945" w:type="dxa"/>
          </w:tcPr>
          <w:p>
            <w:pPr>
              <w:spacing w:line="360" w:lineRule="exact"/>
              <w:ind w:firstLine="360"/>
              <w:jc w:val="center"/>
              <w:rPr>
                <w:rFonts w:ascii="仿宋" w:hAnsi="仿宋" w:eastAsia="仿宋" w:cs="仿宋"/>
                <w:color w:val="auto"/>
                <w:kern w:val="0"/>
                <w:sz w:val="30"/>
                <w:szCs w:val="30"/>
                <w:highlight w:val="none"/>
              </w:rPr>
            </w:pPr>
          </w:p>
        </w:tc>
        <w:tc>
          <w:tcPr>
            <w:tcW w:w="1211" w:type="dxa"/>
          </w:tcPr>
          <w:p>
            <w:pPr>
              <w:spacing w:line="36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Pr>
          <w:p>
            <w:pPr>
              <w:spacing w:line="36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D1.1经济效益</w:t>
            </w:r>
          </w:p>
        </w:tc>
        <w:tc>
          <w:tcPr>
            <w:tcW w:w="1157"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6</w:t>
            </w:r>
          </w:p>
        </w:tc>
        <w:tc>
          <w:tcPr>
            <w:tcW w:w="1945" w:type="dxa"/>
          </w:tcPr>
          <w:p>
            <w:pPr>
              <w:spacing w:line="360" w:lineRule="exact"/>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达标</w:t>
            </w:r>
          </w:p>
        </w:tc>
        <w:tc>
          <w:tcPr>
            <w:tcW w:w="1211" w:type="dxa"/>
          </w:tcPr>
          <w:p>
            <w:pPr>
              <w:spacing w:line="360" w:lineRule="exact"/>
              <w:ind w:firstLine="360"/>
              <w:jc w:val="center"/>
              <w:rPr>
                <w:rFonts w:hint="eastAsia" w:ascii="仿宋" w:hAnsi="仿宋" w:eastAsia="仿宋" w:cs="仿宋"/>
                <w:color w:val="auto"/>
                <w:kern w:val="0"/>
                <w:sz w:val="30"/>
                <w:szCs w:val="30"/>
                <w:highlight w:val="none"/>
                <w:lang w:eastAsia="zh-CN"/>
              </w:rPr>
            </w:pPr>
            <w:r>
              <w:rPr>
                <w:rFonts w:hint="eastAsia" w:ascii="仿宋" w:hAnsi="仿宋" w:eastAsia="仿宋" w:cs="仿宋"/>
                <w:color w:val="auto"/>
                <w:kern w:val="0"/>
                <w:sz w:val="30"/>
                <w:szCs w:val="30"/>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Pr>
          <w:p>
            <w:pPr>
              <w:spacing w:line="36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D1.2社会效益</w:t>
            </w:r>
          </w:p>
        </w:tc>
        <w:tc>
          <w:tcPr>
            <w:tcW w:w="1157"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6</w:t>
            </w:r>
          </w:p>
        </w:tc>
        <w:tc>
          <w:tcPr>
            <w:tcW w:w="1945" w:type="dxa"/>
          </w:tcPr>
          <w:p>
            <w:pPr>
              <w:spacing w:line="360" w:lineRule="exact"/>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达标</w:t>
            </w:r>
          </w:p>
        </w:tc>
        <w:tc>
          <w:tcPr>
            <w:tcW w:w="1211"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Pr>
          <w:p>
            <w:pPr>
              <w:spacing w:line="36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D1.3可持续影响</w:t>
            </w:r>
          </w:p>
        </w:tc>
        <w:tc>
          <w:tcPr>
            <w:tcW w:w="1157"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6</w:t>
            </w:r>
          </w:p>
        </w:tc>
        <w:tc>
          <w:tcPr>
            <w:tcW w:w="1945" w:type="dxa"/>
          </w:tcPr>
          <w:p>
            <w:pPr>
              <w:spacing w:line="360" w:lineRule="exact"/>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达标</w:t>
            </w:r>
          </w:p>
        </w:tc>
        <w:tc>
          <w:tcPr>
            <w:tcW w:w="1211" w:type="dxa"/>
          </w:tcPr>
          <w:p>
            <w:pPr>
              <w:spacing w:line="360" w:lineRule="exact"/>
              <w:ind w:firstLine="360"/>
              <w:jc w:val="center"/>
              <w:rPr>
                <w:rFonts w:hint="eastAsia"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Pr>
          <w:p>
            <w:pPr>
              <w:spacing w:line="360" w:lineRule="exact"/>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D2满意度</w:t>
            </w:r>
          </w:p>
        </w:tc>
        <w:tc>
          <w:tcPr>
            <w:tcW w:w="1157" w:type="dxa"/>
          </w:tcPr>
          <w:p>
            <w:pPr>
              <w:spacing w:line="360" w:lineRule="exact"/>
              <w:ind w:firstLine="360"/>
              <w:jc w:val="center"/>
              <w:rPr>
                <w:rFonts w:ascii="仿宋" w:hAnsi="仿宋" w:eastAsia="仿宋" w:cs="仿宋"/>
                <w:color w:val="auto"/>
                <w:kern w:val="0"/>
                <w:sz w:val="30"/>
                <w:szCs w:val="30"/>
                <w:highlight w:val="none"/>
              </w:rPr>
            </w:pPr>
          </w:p>
        </w:tc>
        <w:tc>
          <w:tcPr>
            <w:tcW w:w="1945" w:type="dxa"/>
          </w:tcPr>
          <w:p>
            <w:pPr>
              <w:spacing w:line="360" w:lineRule="exact"/>
              <w:ind w:firstLine="360"/>
              <w:jc w:val="center"/>
              <w:rPr>
                <w:rFonts w:ascii="仿宋" w:hAnsi="仿宋" w:eastAsia="仿宋" w:cs="仿宋"/>
                <w:color w:val="auto"/>
                <w:kern w:val="0"/>
                <w:sz w:val="30"/>
                <w:szCs w:val="30"/>
                <w:highlight w:val="none"/>
              </w:rPr>
            </w:pPr>
          </w:p>
        </w:tc>
        <w:tc>
          <w:tcPr>
            <w:tcW w:w="1211" w:type="dxa"/>
          </w:tcPr>
          <w:p>
            <w:pPr>
              <w:spacing w:line="360" w:lineRule="exact"/>
              <w:ind w:firstLine="360"/>
              <w:jc w:val="center"/>
              <w:rPr>
                <w:rFonts w:ascii="仿宋" w:hAnsi="仿宋" w:eastAsia="仿宋" w:cs="仿宋"/>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Pr>
          <w:p>
            <w:pPr>
              <w:spacing w:line="360" w:lineRule="exact"/>
              <w:ind w:firstLine="150" w:firstLineChars="50"/>
              <w:jc w:val="left"/>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D2.1服务对象满意度</w:t>
            </w:r>
          </w:p>
        </w:tc>
        <w:tc>
          <w:tcPr>
            <w:tcW w:w="1157"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10</w:t>
            </w:r>
          </w:p>
        </w:tc>
        <w:tc>
          <w:tcPr>
            <w:tcW w:w="1945" w:type="dxa"/>
          </w:tcPr>
          <w:p>
            <w:pPr>
              <w:spacing w:line="360" w:lineRule="exact"/>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96.67%</w:t>
            </w:r>
          </w:p>
        </w:tc>
        <w:tc>
          <w:tcPr>
            <w:tcW w:w="1211" w:type="dxa"/>
          </w:tcPr>
          <w:p>
            <w:pPr>
              <w:spacing w:line="36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125"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小计</w:t>
            </w:r>
          </w:p>
        </w:tc>
        <w:tc>
          <w:tcPr>
            <w:tcW w:w="1157" w:type="dxa"/>
          </w:tcPr>
          <w:p>
            <w:pPr>
              <w:spacing w:line="360" w:lineRule="exact"/>
              <w:ind w:firstLine="360"/>
              <w:jc w:val="center"/>
              <w:rPr>
                <w:rFonts w:ascii="仿宋" w:hAnsi="仿宋" w:eastAsia="仿宋" w:cs="仿宋"/>
                <w:color w:val="auto"/>
                <w:kern w:val="0"/>
                <w:sz w:val="30"/>
                <w:szCs w:val="30"/>
                <w:highlight w:val="none"/>
              </w:rPr>
            </w:pPr>
            <w:r>
              <w:rPr>
                <w:rFonts w:hint="eastAsia" w:ascii="仿宋" w:hAnsi="仿宋" w:eastAsia="仿宋" w:cs="仿宋"/>
                <w:color w:val="auto"/>
                <w:kern w:val="0"/>
                <w:sz w:val="30"/>
                <w:szCs w:val="30"/>
                <w:highlight w:val="none"/>
              </w:rPr>
              <w:t>28</w:t>
            </w:r>
          </w:p>
        </w:tc>
        <w:tc>
          <w:tcPr>
            <w:tcW w:w="1945" w:type="dxa"/>
          </w:tcPr>
          <w:p>
            <w:pPr>
              <w:spacing w:line="360" w:lineRule="exact"/>
              <w:ind w:firstLine="360"/>
              <w:jc w:val="center"/>
              <w:rPr>
                <w:rFonts w:ascii="仿宋" w:hAnsi="仿宋" w:eastAsia="仿宋" w:cs="仿宋"/>
                <w:color w:val="auto"/>
                <w:kern w:val="0"/>
                <w:sz w:val="30"/>
                <w:szCs w:val="30"/>
                <w:highlight w:val="none"/>
              </w:rPr>
            </w:pPr>
          </w:p>
        </w:tc>
        <w:tc>
          <w:tcPr>
            <w:tcW w:w="1211" w:type="dxa"/>
          </w:tcPr>
          <w:p>
            <w:pPr>
              <w:spacing w:line="360" w:lineRule="exact"/>
              <w:ind w:firstLine="360"/>
              <w:jc w:val="center"/>
              <w:rPr>
                <w:rFonts w:hint="default" w:ascii="仿宋" w:hAnsi="仿宋" w:eastAsia="仿宋" w:cs="仿宋"/>
                <w:color w:val="auto"/>
                <w:kern w:val="0"/>
                <w:sz w:val="30"/>
                <w:szCs w:val="30"/>
                <w:highlight w:val="none"/>
                <w:lang w:val="en-US" w:eastAsia="zh-CN"/>
              </w:rPr>
            </w:pPr>
            <w:r>
              <w:rPr>
                <w:rFonts w:hint="eastAsia" w:ascii="仿宋" w:hAnsi="仿宋" w:eastAsia="仿宋" w:cs="仿宋"/>
                <w:color w:val="auto"/>
                <w:kern w:val="0"/>
                <w:sz w:val="30"/>
                <w:szCs w:val="30"/>
                <w:highlight w:val="none"/>
                <w:lang w:val="en-US" w:eastAsia="zh-CN"/>
              </w:rPr>
              <w:t>28</w:t>
            </w:r>
          </w:p>
        </w:tc>
      </w:tr>
    </w:tbl>
    <w:p>
      <w:pPr>
        <w:rPr>
          <w:rFonts w:hint="eastAsia" w:ascii="仿宋" w:hAnsi="仿宋" w:eastAsia="仿宋"/>
          <w:color w:val="auto"/>
          <w:sz w:val="32"/>
          <w:szCs w:val="32"/>
          <w:highlight w:val="none"/>
        </w:rPr>
      </w:pP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D1项目效益</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D1.1经济效益</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通过项目的实施</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帮助农户降低了因病、因学、因灾等原因导致的经济损失。</w:t>
      </w:r>
    </w:p>
    <w:p>
      <w:pPr>
        <w:ind w:firstLine="640" w:firstLineChars="200"/>
        <w:rPr>
          <w:rFonts w:ascii="仿宋" w:hAnsi="仿宋" w:eastAsia="仿宋"/>
          <w:color w:val="auto"/>
          <w:sz w:val="32"/>
          <w:szCs w:val="32"/>
          <w:highlight w:val="none"/>
        </w:rPr>
      </w:pPr>
      <w:r>
        <w:rPr>
          <w:rFonts w:hint="eastAsia" w:ascii="仿宋" w:hAnsi="仿宋" w:eastAsia="仿宋" w:cs="仿宋"/>
          <w:color w:val="auto"/>
          <w:sz w:val="32"/>
          <w:szCs w:val="32"/>
          <w:highlight w:val="none"/>
        </w:rPr>
        <w:t>该项指标满分6分，根据评分标准得</w:t>
      </w: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D1.2社会效益</w:t>
      </w:r>
    </w:p>
    <w:p>
      <w:pPr>
        <w:ind w:firstLine="640" w:firstLineChars="200"/>
        <w:rPr>
          <w:rFonts w:ascii="仿宋" w:hAnsi="仿宋" w:eastAsia="仿宋"/>
          <w:color w:val="auto"/>
          <w:sz w:val="32"/>
          <w:szCs w:val="32"/>
          <w:highlight w:val="none"/>
        </w:rPr>
      </w:pPr>
      <w:r>
        <w:rPr>
          <w:rFonts w:hint="eastAsia" w:ascii="仿宋" w:hAnsi="仿宋" w:eastAsia="仿宋" w:cs="仿宋"/>
          <w:color w:val="auto"/>
          <w:sz w:val="32"/>
          <w:szCs w:val="32"/>
          <w:highlight w:val="none"/>
          <w:lang w:val="en-US" w:eastAsia="zh-CN"/>
        </w:rPr>
        <w:t>防贫保险为巩固拓展脱贫成果、守住致贫返贫底线提供了有力政策的保障</w:t>
      </w:r>
      <w:r>
        <w:rPr>
          <w:rFonts w:hint="eastAsia" w:ascii="仿宋" w:hAnsi="仿宋" w:eastAsia="仿宋" w:cs="仿宋"/>
          <w:color w:val="auto"/>
          <w:sz w:val="32"/>
          <w:szCs w:val="32"/>
          <w:highlight w:val="none"/>
        </w:rPr>
        <w:t>，</w:t>
      </w:r>
      <w:r>
        <w:rPr>
          <w:rFonts w:hint="eastAsia" w:ascii="仿宋" w:hAnsi="仿宋" w:eastAsia="仿宋"/>
          <w:color w:val="auto"/>
          <w:sz w:val="32"/>
          <w:szCs w:val="32"/>
          <w:highlight w:val="none"/>
        </w:rPr>
        <w:t>增加了</w:t>
      </w:r>
      <w:r>
        <w:rPr>
          <w:rFonts w:hint="eastAsia" w:ascii="仿宋" w:hAnsi="仿宋" w:eastAsia="仿宋"/>
          <w:color w:val="auto"/>
          <w:sz w:val="32"/>
          <w:szCs w:val="32"/>
          <w:highlight w:val="none"/>
          <w:lang w:val="en-US" w:eastAsia="zh-CN"/>
        </w:rPr>
        <w:t>农户</w:t>
      </w:r>
      <w:r>
        <w:rPr>
          <w:rFonts w:hint="eastAsia" w:ascii="仿宋" w:hAnsi="仿宋" w:eastAsia="仿宋"/>
          <w:color w:val="auto"/>
          <w:sz w:val="32"/>
          <w:szCs w:val="32"/>
          <w:highlight w:val="none"/>
        </w:rPr>
        <w:t>对相关政策的认可度、满意度。</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该项指标满分6分，根据评分标准得6分。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D1.3可持续影响</w:t>
      </w:r>
    </w:p>
    <w:p>
      <w:pPr>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项目的实施是符合国家可持续发展方向的，缩小城乡、贫富差距</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推进了乡村振兴</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提高了农户未来生活质量</w:t>
      </w:r>
      <w:r>
        <w:rPr>
          <w:rFonts w:hint="eastAsia" w:ascii="仿宋" w:hAnsi="仿宋" w:eastAsia="仿宋"/>
          <w:color w:val="auto"/>
          <w:sz w:val="32"/>
          <w:szCs w:val="32"/>
          <w:highlight w:val="none"/>
        </w:rPr>
        <w:t>。</w:t>
      </w:r>
    </w:p>
    <w:p>
      <w:pPr>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该项指标满分6分，根据评分标准得</w:t>
      </w:r>
      <w:r>
        <w:rPr>
          <w:rFonts w:hint="eastAsia" w:ascii="仿宋" w:hAnsi="仿宋" w:eastAsia="仿宋"/>
          <w:color w:val="auto"/>
          <w:sz w:val="32"/>
          <w:szCs w:val="32"/>
          <w:highlight w:val="none"/>
          <w:lang w:val="en-US" w:eastAsia="zh-CN"/>
        </w:rPr>
        <w:t>6</w:t>
      </w:r>
      <w:r>
        <w:rPr>
          <w:rFonts w:hint="eastAsia" w:ascii="仿宋" w:hAnsi="仿宋" w:eastAsia="仿宋"/>
          <w:color w:val="auto"/>
          <w:sz w:val="32"/>
          <w:szCs w:val="32"/>
          <w:highlight w:val="none"/>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D2满意度</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D2.1服务对象满意度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本次评价向防贫保险申请对象发放调查问卷，有效问卷30份，根据问卷调查统计结果，受益群众满意度为96.67%。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因此，评价认为项目满意度指标目标值实现。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该项指标满分10分，根据评分标准得10分。</w:t>
      </w:r>
    </w:p>
    <w:p>
      <w:pPr>
        <w:spacing w:line="560" w:lineRule="exact"/>
        <w:jc w:val="left"/>
        <w:outlineLvl w:val="0"/>
        <w:rPr>
          <w:rFonts w:ascii="仿宋" w:hAnsi="仿宋" w:eastAsia="仿宋" w:cs="仿宋"/>
          <w:b/>
          <w:color w:val="auto"/>
          <w:sz w:val="32"/>
          <w:szCs w:val="32"/>
          <w:highlight w:val="none"/>
        </w:rPr>
      </w:pPr>
      <w:bookmarkStart w:id="17" w:name="_Toc30108"/>
      <w:r>
        <w:rPr>
          <w:rFonts w:hint="eastAsia" w:ascii="仿宋" w:hAnsi="仿宋" w:eastAsia="仿宋" w:cs="仿宋"/>
          <w:b/>
          <w:color w:val="auto"/>
          <w:sz w:val="32"/>
          <w:szCs w:val="32"/>
          <w:highlight w:val="none"/>
        </w:rPr>
        <w:t>4、绩效评价结果</w:t>
      </w:r>
      <w:bookmarkEnd w:id="17"/>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olor w:val="auto"/>
          <w:sz w:val="32"/>
          <w:szCs w:val="32"/>
          <w:highlight w:val="none"/>
        </w:rPr>
        <w:t>本次评价在资料查阅、现场调研及访谈基础上，对赣州蓉江新区</w:t>
      </w:r>
      <w:r>
        <w:rPr>
          <w:rFonts w:hint="eastAsia" w:ascii="仿宋" w:hAnsi="仿宋" w:eastAsia="仿宋"/>
          <w:color w:val="auto"/>
          <w:sz w:val="32"/>
          <w:szCs w:val="32"/>
          <w:highlight w:val="none"/>
          <w:lang w:val="en-US" w:eastAsia="zh-CN"/>
        </w:rPr>
        <w:t>农业农村办公室</w:t>
      </w:r>
      <w:r>
        <w:rPr>
          <w:rFonts w:hint="eastAsia" w:ascii="仿宋" w:hAnsi="仿宋" w:eastAsia="仿宋"/>
          <w:color w:val="auto"/>
          <w:sz w:val="32"/>
          <w:szCs w:val="32"/>
          <w:highlight w:val="none"/>
          <w:lang w:eastAsia="zh-CN"/>
        </w:rPr>
        <w:t>2022年精准防贫保险项目</w:t>
      </w:r>
      <w:r>
        <w:rPr>
          <w:rFonts w:hint="eastAsia" w:ascii="仿宋" w:hAnsi="仿宋" w:eastAsia="仿宋"/>
          <w:color w:val="auto"/>
          <w:sz w:val="32"/>
          <w:szCs w:val="32"/>
          <w:highlight w:val="none"/>
        </w:rPr>
        <w:t>绩效进行逐项打分、客观评价，等级设为四档：90（含）-100分为优、80（含）-90分为良、60（含）-80分为中等、60分以下为差。最终评分结果：总得分为</w:t>
      </w:r>
      <w:r>
        <w:rPr>
          <w:rFonts w:hint="eastAsia" w:ascii="仿宋" w:hAnsi="仿宋" w:eastAsia="仿宋"/>
          <w:color w:val="auto"/>
          <w:sz w:val="32"/>
          <w:szCs w:val="32"/>
          <w:highlight w:val="none"/>
          <w:lang w:val="en-US" w:eastAsia="zh-CN"/>
        </w:rPr>
        <w:t>94</w:t>
      </w:r>
      <w:r>
        <w:rPr>
          <w:rFonts w:hint="eastAsia" w:ascii="仿宋" w:hAnsi="仿宋" w:eastAsia="仿宋"/>
          <w:color w:val="auto"/>
          <w:sz w:val="32"/>
          <w:szCs w:val="32"/>
          <w:highlight w:val="none"/>
        </w:rPr>
        <w:t>分，绩效评级为“</w:t>
      </w:r>
      <w:r>
        <w:rPr>
          <w:rFonts w:hint="eastAsia" w:ascii="仿宋" w:hAnsi="仿宋" w:eastAsia="仿宋"/>
          <w:color w:val="auto"/>
          <w:sz w:val="32"/>
          <w:szCs w:val="32"/>
          <w:highlight w:val="none"/>
          <w:lang w:val="en-US" w:eastAsia="zh-CN"/>
        </w:rPr>
        <w:t>优</w:t>
      </w:r>
      <w:r>
        <w:rPr>
          <w:rFonts w:hint="eastAsia" w:ascii="仿宋" w:hAnsi="仿宋" w:eastAsia="仿宋"/>
          <w:color w:val="auto"/>
          <w:sz w:val="32"/>
          <w:szCs w:val="32"/>
          <w:highlight w:val="none"/>
        </w:rPr>
        <w:t>”。</w:t>
      </w:r>
    </w:p>
    <w:p>
      <w:pP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p>
    <w:p>
      <w:pPr>
        <w:spacing w:line="560" w:lineRule="exact"/>
        <w:ind w:firstLine="42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项目绩效评分汇总表</w:t>
      </w:r>
    </w:p>
    <w:tbl>
      <w:tblPr>
        <w:tblStyle w:val="11"/>
        <w:tblpPr w:leftFromText="180" w:rightFromText="180" w:vertAnchor="text" w:horzAnchor="page" w:tblpX="1785" w:tblpY="207"/>
        <w:tblOverlap w:val="never"/>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9"/>
        <w:gridCol w:w="1511"/>
        <w:gridCol w:w="1691"/>
        <w:gridCol w:w="1568"/>
        <w:gridCol w:w="1458"/>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059"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指标</w:t>
            </w:r>
          </w:p>
        </w:tc>
        <w:tc>
          <w:tcPr>
            <w:tcW w:w="1511"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A.决策性指标</w:t>
            </w:r>
          </w:p>
        </w:tc>
        <w:tc>
          <w:tcPr>
            <w:tcW w:w="1691"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B.管理性指标</w:t>
            </w:r>
          </w:p>
        </w:tc>
        <w:tc>
          <w:tcPr>
            <w:tcW w:w="1568"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C.产出性指标</w:t>
            </w:r>
          </w:p>
        </w:tc>
        <w:tc>
          <w:tcPr>
            <w:tcW w:w="1458"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D.效果性指标</w:t>
            </w:r>
          </w:p>
        </w:tc>
        <w:tc>
          <w:tcPr>
            <w:tcW w:w="1230" w:type="dxa"/>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59"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权重</w:t>
            </w:r>
          </w:p>
        </w:tc>
        <w:tc>
          <w:tcPr>
            <w:tcW w:w="1511"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15</w:t>
            </w:r>
          </w:p>
        </w:tc>
        <w:tc>
          <w:tcPr>
            <w:tcW w:w="1691"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25</w:t>
            </w:r>
          </w:p>
        </w:tc>
        <w:tc>
          <w:tcPr>
            <w:tcW w:w="1568"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32</w:t>
            </w:r>
          </w:p>
        </w:tc>
        <w:tc>
          <w:tcPr>
            <w:tcW w:w="1458"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28</w:t>
            </w:r>
          </w:p>
        </w:tc>
        <w:tc>
          <w:tcPr>
            <w:tcW w:w="1230" w:type="dxa"/>
            <w:tcBorders>
              <w:bottom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0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分值</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12</w:t>
            </w:r>
          </w:p>
        </w:tc>
        <w:tc>
          <w:tcPr>
            <w:tcW w:w="1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22</w:t>
            </w:r>
          </w:p>
        </w:tc>
        <w:tc>
          <w:tcPr>
            <w:tcW w:w="15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32</w:t>
            </w:r>
          </w:p>
        </w:tc>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28</w:t>
            </w:r>
          </w:p>
        </w:tc>
        <w:tc>
          <w:tcPr>
            <w:tcW w:w="12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得分率</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80</w:t>
            </w:r>
            <w:r>
              <w:rPr>
                <w:rFonts w:hint="eastAsia" w:ascii="仿宋" w:hAnsi="仿宋" w:eastAsia="仿宋" w:cs="仿宋"/>
                <w:color w:val="auto"/>
                <w:kern w:val="0"/>
                <w:sz w:val="32"/>
                <w:szCs w:val="32"/>
                <w:highlight w:val="none"/>
              </w:rPr>
              <w:t>%</w:t>
            </w:r>
          </w:p>
        </w:tc>
        <w:tc>
          <w:tcPr>
            <w:tcW w:w="1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88%</w:t>
            </w:r>
          </w:p>
        </w:tc>
        <w:tc>
          <w:tcPr>
            <w:tcW w:w="15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100%</w:t>
            </w:r>
          </w:p>
        </w:tc>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100</w:t>
            </w:r>
            <w:r>
              <w:rPr>
                <w:rFonts w:hint="eastAsia" w:ascii="仿宋" w:hAnsi="仿宋" w:eastAsia="仿宋" w:cs="仿宋"/>
                <w:color w:val="auto"/>
                <w:kern w:val="0"/>
                <w:sz w:val="32"/>
                <w:szCs w:val="32"/>
                <w:highlight w:val="none"/>
              </w:rPr>
              <w:t>%</w:t>
            </w:r>
          </w:p>
        </w:tc>
        <w:tc>
          <w:tcPr>
            <w:tcW w:w="12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94</w:t>
            </w:r>
            <w:r>
              <w:rPr>
                <w:rFonts w:hint="eastAsia" w:ascii="仿宋" w:hAnsi="仿宋" w:eastAsia="仿宋" w:cs="仿宋"/>
                <w:color w:val="auto"/>
                <w:kern w:val="0"/>
                <w:sz w:val="32"/>
                <w:szCs w:val="32"/>
                <w:highlight w:val="none"/>
              </w:rPr>
              <w:t>%</w:t>
            </w:r>
          </w:p>
        </w:tc>
      </w:tr>
    </w:tbl>
    <w:p>
      <w:pPr>
        <w:spacing w:line="400" w:lineRule="exact"/>
        <w:ind w:firstLine="643" w:firstLineChars="200"/>
        <w:jc w:val="left"/>
        <w:rPr>
          <w:rFonts w:ascii="仿宋" w:hAnsi="仿宋" w:eastAsia="仿宋" w:cs="仿宋"/>
          <w:b/>
          <w:color w:val="auto"/>
          <w:sz w:val="32"/>
          <w:szCs w:val="32"/>
          <w:highlight w:val="none"/>
        </w:rPr>
      </w:pPr>
    </w:p>
    <w:p>
      <w:pPr>
        <w:spacing w:line="400" w:lineRule="exact"/>
        <w:jc w:val="left"/>
        <w:outlineLvl w:val="0"/>
        <w:rPr>
          <w:rFonts w:ascii="仿宋" w:hAnsi="仿宋" w:eastAsia="仿宋" w:cs="仿宋"/>
          <w:b/>
          <w:color w:val="auto"/>
          <w:sz w:val="32"/>
          <w:szCs w:val="32"/>
          <w:highlight w:val="none"/>
        </w:rPr>
      </w:pPr>
      <w:bookmarkStart w:id="18" w:name="_Toc1593"/>
      <w:r>
        <w:rPr>
          <w:rFonts w:hint="eastAsia" w:ascii="仿宋" w:hAnsi="仿宋" w:eastAsia="仿宋" w:cs="仿宋"/>
          <w:b/>
          <w:color w:val="auto"/>
          <w:sz w:val="32"/>
          <w:szCs w:val="32"/>
          <w:highlight w:val="none"/>
        </w:rPr>
        <w:t>5、存在的问题</w:t>
      </w:r>
      <w:bookmarkEnd w:id="18"/>
    </w:p>
    <w:p>
      <w:pPr>
        <w:spacing w:line="560" w:lineRule="exact"/>
        <w:ind w:firstLine="573"/>
        <w:jc w:val="left"/>
        <w:outlineLvl w:val="1"/>
        <w:rPr>
          <w:rFonts w:ascii="仿宋" w:hAnsi="仿宋" w:eastAsia="仿宋" w:cs="仿宋"/>
          <w:b/>
          <w:color w:val="auto"/>
          <w:sz w:val="32"/>
          <w:szCs w:val="32"/>
          <w:highlight w:val="none"/>
        </w:rPr>
      </w:pPr>
      <w:bookmarkStart w:id="19" w:name="_Toc26349"/>
      <w:bookmarkStart w:id="20" w:name="_Toc20499"/>
      <w:r>
        <w:rPr>
          <w:rFonts w:hint="eastAsia" w:ascii="仿宋" w:hAnsi="仿宋" w:eastAsia="仿宋" w:cs="仿宋"/>
          <w:b/>
          <w:color w:val="auto"/>
          <w:sz w:val="32"/>
          <w:szCs w:val="32"/>
          <w:highlight w:val="none"/>
        </w:rPr>
        <w:t>5.1预算绩效管理工作方面存在不足</w:t>
      </w:r>
      <w:bookmarkEnd w:id="19"/>
      <w:bookmarkEnd w:id="20"/>
    </w:p>
    <w:p>
      <w:pPr>
        <w:spacing w:line="560" w:lineRule="exact"/>
        <w:ind w:firstLine="573"/>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绩效目标管理工作有待改善，存在绩效指标</w:t>
      </w:r>
      <w:r>
        <w:rPr>
          <w:rFonts w:hint="eastAsia" w:ascii="仿宋" w:hAnsi="仿宋" w:eastAsia="仿宋" w:cs="仿宋"/>
          <w:color w:val="auto"/>
          <w:sz w:val="32"/>
          <w:szCs w:val="32"/>
          <w:highlight w:val="none"/>
          <w:lang w:val="en-US" w:eastAsia="zh-CN"/>
        </w:rPr>
        <w:t>未量化</w:t>
      </w:r>
      <w:r>
        <w:rPr>
          <w:rFonts w:hint="eastAsia" w:ascii="仿宋" w:hAnsi="仿宋" w:eastAsia="仿宋" w:cs="仿宋"/>
          <w:color w:val="auto"/>
          <w:sz w:val="32"/>
          <w:szCs w:val="32"/>
          <w:highlight w:val="none"/>
        </w:rPr>
        <w:t>、规范性不足的情形。比照《赣州市预算绩效管理暂行办法》第四章第十一条“编报的绩效目标要能清晰反映项目决策、项目和资金管理、产出和效益；指标内涵应当明确、具体、可衡量，指标值应当科学合理、符合标准”的文件要求，</w:t>
      </w:r>
      <w:r>
        <w:rPr>
          <w:rFonts w:hint="eastAsia" w:ascii="仿宋" w:hAnsi="仿宋" w:eastAsia="仿宋" w:cs="仿宋"/>
          <w:color w:val="auto"/>
          <w:sz w:val="32"/>
          <w:szCs w:val="32"/>
          <w:highlight w:val="none"/>
          <w:lang w:val="en-US" w:eastAsia="zh-CN"/>
        </w:rPr>
        <w:t>赣州蓉江新区农业农村办公室</w:t>
      </w:r>
      <w:r>
        <w:rPr>
          <w:rFonts w:hint="eastAsia" w:ascii="仿宋" w:hAnsi="仿宋" w:eastAsia="仿宋" w:cs="仿宋"/>
          <w:color w:val="auto"/>
          <w:sz w:val="32"/>
          <w:szCs w:val="32"/>
          <w:highlight w:val="none"/>
        </w:rPr>
        <w:t>相关绩效指标，无法依据绩效指标进行检查评价。</w:t>
      </w:r>
    </w:p>
    <w:p>
      <w:pPr>
        <w:spacing w:line="560" w:lineRule="exact"/>
        <w:ind w:firstLine="573"/>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绩效评价管理工作有待改善，存在评价依据不足的情形。比照《赣州市预算绩效管理暂行办法》第六章第二十一条“绩效评价是依据设定的绩效目标，对财政支出的经济性、效率性、效益性和公平性进行客观、公正</w:t>
      </w:r>
      <w:r>
        <w:rPr>
          <w:rFonts w:hint="eastAsia" w:ascii="仿宋" w:hAnsi="仿宋" w:eastAsia="仿宋" w:cs="仿宋"/>
          <w:color w:val="auto"/>
          <w:sz w:val="32"/>
          <w:szCs w:val="32"/>
          <w:highlight w:val="none"/>
          <w:lang w:eastAsia="zh-CN"/>
        </w:rPr>
        <w:t>地</w:t>
      </w:r>
      <w:r>
        <w:rPr>
          <w:rFonts w:hint="eastAsia" w:ascii="仿宋" w:hAnsi="仿宋" w:eastAsia="仿宋" w:cs="仿宋"/>
          <w:color w:val="auto"/>
          <w:sz w:val="32"/>
          <w:szCs w:val="32"/>
          <w:highlight w:val="none"/>
        </w:rPr>
        <w:t>测量、分析和评判”的规定，</w:t>
      </w:r>
      <w:r>
        <w:rPr>
          <w:rFonts w:hint="eastAsia" w:ascii="仿宋" w:hAnsi="仿宋" w:eastAsia="仿宋" w:cs="仿宋"/>
          <w:color w:val="auto"/>
          <w:sz w:val="32"/>
          <w:szCs w:val="32"/>
          <w:highlight w:val="none"/>
          <w:lang w:val="en-US" w:eastAsia="zh-CN"/>
        </w:rPr>
        <w:t>赣州蓉江新区农业农村办公室</w:t>
      </w:r>
      <w:r>
        <w:rPr>
          <w:rFonts w:hint="eastAsia" w:ascii="仿宋" w:hAnsi="仿宋" w:eastAsia="仿宋" w:cs="仿宋"/>
          <w:color w:val="auto"/>
          <w:sz w:val="32"/>
          <w:szCs w:val="32"/>
          <w:highlight w:val="none"/>
        </w:rPr>
        <w:t>未提供绩效自评表、绩效自评报告。</w:t>
      </w:r>
    </w:p>
    <w:p>
      <w:pPr>
        <w:spacing w:line="560" w:lineRule="exact"/>
        <w:ind w:firstLine="573"/>
        <w:jc w:val="left"/>
        <w:outlineLvl w:val="1"/>
        <w:rPr>
          <w:rFonts w:hint="default" w:ascii="仿宋" w:hAnsi="仿宋" w:eastAsia="仿宋" w:cs="仿宋"/>
          <w:b/>
          <w:color w:val="auto"/>
          <w:sz w:val="32"/>
          <w:szCs w:val="32"/>
          <w:highlight w:val="none"/>
          <w:lang w:val="en-US" w:eastAsia="zh-CN"/>
        </w:rPr>
      </w:pPr>
      <w:bookmarkStart w:id="21" w:name="_Toc1569"/>
      <w:bookmarkStart w:id="22" w:name="_Toc9284"/>
      <w:r>
        <w:rPr>
          <w:rFonts w:hint="eastAsia" w:ascii="仿宋" w:hAnsi="仿宋" w:eastAsia="仿宋" w:cs="仿宋"/>
          <w:b/>
          <w:color w:val="auto"/>
          <w:sz w:val="32"/>
          <w:szCs w:val="32"/>
          <w:highlight w:val="none"/>
          <w:lang w:val="en-US" w:eastAsia="zh-CN"/>
        </w:rPr>
        <w:t>5.2预算编制和执行缺乏准确性</w:t>
      </w:r>
      <w:bookmarkEnd w:id="21"/>
      <w:bookmarkEnd w:id="22"/>
    </w:p>
    <w:p>
      <w:pPr>
        <w:spacing w:line="560" w:lineRule="exact"/>
        <w:ind w:firstLine="573"/>
        <w:jc w:val="left"/>
        <w:rPr>
          <w:rFonts w:hint="default" w:ascii="仿宋" w:hAnsi="仿宋" w:eastAsia="仿宋" w:cs="仿宋"/>
          <w:color w:val="auto"/>
          <w:sz w:val="32"/>
          <w:szCs w:val="32"/>
          <w:highlight w:val="none"/>
          <w:lang w:val="en-US" w:eastAsia="zh-CN"/>
        </w:rPr>
      </w:pPr>
      <w:r>
        <w:rPr>
          <w:rFonts w:hint="default" w:ascii="仿宋" w:hAnsi="仿宋" w:eastAsia="仿宋" w:cs="仿宋"/>
          <w:color w:val="auto"/>
          <w:sz w:val="32"/>
          <w:szCs w:val="32"/>
          <w:highlight w:val="none"/>
          <w:lang w:val="en-US" w:eastAsia="zh-CN"/>
        </w:rPr>
        <w:t>预算编制不够明确和细化，由于项目执行中不确定性因素较多，因而造成预算编制数和实际发生数存在差异，影响了预算收支的准确性。</w:t>
      </w:r>
    </w:p>
    <w:p>
      <w:pPr>
        <w:rPr>
          <w:rFonts w:hint="eastAsia" w:ascii="仿宋" w:hAnsi="仿宋" w:eastAsia="仿宋" w:cs="仿宋"/>
          <w:b/>
          <w:color w:val="auto"/>
          <w:sz w:val="32"/>
          <w:szCs w:val="32"/>
          <w:highlight w:val="none"/>
        </w:rPr>
      </w:pPr>
      <w:bookmarkStart w:id="23" w:name="_Toc21783"/>
      <w:r>
        <w:rPr>
          <w:rFonts w:hint="eastAsia" w:ascii="仿宋" w:hAnsi="仿宋" w:eastAsia="仿宋" w:cs="仿宋"/>
          <w:b/>
          <w:color w:val="auto"/>
          <w:sz w:val="32"/>
          <w:szCs w:val="32"/>
          <w:highlight w:val="none"/>
        </w:rPr>
        <w:br w:type="page"/>
      </w:r>
    </w:p>
    <w:p>
      <w:pPr>
        <w:spacing w:line="560" w:lineRule="exact"/>
        <w:jc w:val="left"/>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6、改进措施和建议</w:t>
      </w:r>
      <w:bookmarkEnd w:id="23"/>
    </w:p>
    <w:p>
      <w:pPr>
        <w:spacing w:line="560" w:lineRule="exact"/>
        <w:ind w:firstLine="570"/>
        <w:jc w:val="left"/>
        <w:outlineLvl w:val="1"/>
        <w:rPr>
          <w:rFonts w:hint="default" w:ascii="仿宋" w:hAnsi="仿宋" w:eastAsia="仿宋" w:cs="仿宋"/>
          <w:b/>
          <w:color w:val="auto"/>
          <w:sz w:val="32"/>
          <w:szCs w:val="32"/>
          <w:highlight w:val="none"/>
          <w:lang w:val="en-US" w:eastAsia="zh-CN"/>
        </w:rPr>
      </w:pPr>
      <w:bookmarkStart w:id="24" w:name="_Toc20737"/>
      <w:bookmarkStart w:id="25" w:name="_Toc8157"/>
      <w:r>
        <w:rPr>
          <w:rFonts w:hint="eastAsia" w:ascii="仿宋" w:hAnsi="仿宋" w:eastAsia="仿宋" w:cs="仿宋"/>
          <w:b/>
          <w:color w:val="auto"/>
          <w:sz w:val="32"/>
          <w:szCs w:val="32"/>
          <w:highlight w:val="none"/>
        </w:rPr>
        <w:t>6.1</w:t>
      </w:r>
      <w:r>
        <w:rPr>
          <w:rFonts w:hint="eastAsia" w:ascii="仿宋" w:hAnsi="仿宋" w:eastAsia="仿宋" w:cs="仿宋"/>
          <w:b/>
          <w:color w:val="auto"/>
          <w:sz w:val="32"/>
          <w:szCs w:val="32"/>
          <w:highlight w:val="none"/>
          <w:lang w:val="en-US" w:eastAsia="zh-CN"/>
        </w:rPr>
        <w:t>加强预算绩效监管力度</w:t>
      </w:r>
      <w:bookmarkEnd w:id="24"/>
      <w:bookmarkEnd w:id="25"/>
    </w:p>
    <w:p>
      <w:pPr>
        <w:spacing w:line="560" w:lineRule="exact"/>
        <w:ind w:firstLine="57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进一步强化预算绩效管理工作，切实履行预算绩效管理职责，加强对部门预算执行过程的动态监督，及时掌握部门预算执行过程中的情况和</w:t>
      </w:r>
      <w:r>
        <w:rPr>
          <w:rFonts w:hint="eastAsia" w:ascii="仿宋" w:hAnsi="仿宋" w:eastAsia="仿宋" w:cs="仿宋"/>
          <w:color w:val="auto"/>
          <w:sz w:val="32"/>
          <w:szCs w:val="32"/>
          <w:highlight w:val="none"/>
          <w:lang w:eastAsia="zh-CN"/>
        </w:rPr>
        <w:t>实时</w:t>
      </w:r>
      <w:r>
        <w:rPr>
          <w:rFonts w:hint="eastAsia" w:ascii="仿宋" w:hAnsi="仿宋" w:eastAsia="仿宋" w:cs="仿宋"/>
          <w:color w:val="auto"/>
          <w:sz w:val="32"/>
          <w:szCs w:val="32"/>
          <w:highlight w:val="none"/>
        </w:rPr>
        <w:t>动态，完善预算执行情况定期通报机制。加强有关的预算管理体系的意识,加大对预算管理人员的培训,提高财务工作人员的专业能力以及专业素养,提高预算编制和执行准确性，以进一步地推动预算单位的管理水平。</w:t>
      </w:r>
    </w:p>
    <w:p>
      <w:pPr>
        <w:spacing w:line="560" w:lineRule="exact"/>
        <w:ind w:firstLine="570"/>
        <w:jc w:val="left"/>
        <w:outlineLvl w:val="1"/>
        <w:rPr>
          <w:rFonts w:ascii="仿宋" w:hAnsi="仿宋" w:eastAsia="仿宋" w:cs="仿宋"/>
          <w:b/>
          <w:color w:val="auto"/>
          <w:sz w:val="32"/>
          <w:szCs w:val="32"/>
          <w:highlight w:val="none"/>
        </w:rPr>
      </w:pPr>
      <w:bookmarkStart w:id="26" w:name="_Toc27573"/>
      <w:bookmarkStart w:id="27" w:name="_Toc11856"/>
      <w:r>
        <w:rPr>
          <w:rFonts w:hint="eastAsia" w:ascii="仿宋" w:hAnsi="仿宋" w:eastAsia="仿宋" w:cs="仿宋"/>
          <w:b/>
          <w:color w:val="auto"/>
          <w:sz w:val="32"/>
          <w:szCs w:val="32"/>
          <w:highlight w:val="none"/>
        </w:rPr>
        <w:t>6.</w:t>
      </w:r>
      <w:r>
        <w:rPr>
          <w:rFonts w:hint="eastAsia" w:ascii="仿宋" w:hAnsi="仿宋" w:eastAsia="仿宋" w:cs="仿宋"/>
          <w:b/>
          <w:color w:val="auto"/>
          <w:sz w:val="32"/>
          <w:szCs w:val="32"/>
          <w:highlight w:val="none"/>
          <w:lang w:val="en-US" w:eastAsia="zh-CN"/>
        </w:rPr>
        <w:t>2</w:t>
      </w:r>
      <w:r>
        <w:rPr>
          <w:rFonts w:hint="eastAsia" w:ascii="仿宋" w:hAnsi="仿宋" w:eastAsia="仿宋" w:cs="仿宋"/>
          <w:b/>
          <w:color w:val="auto"/>
          <w:sz w:val="32"/>
          <w:szCs w:val="32"/>
          <w:highlight w:val="none"/>
        </w:rPr>
        <w:t>建立项目个性业务绩效指标和标准体系</w:t>
      </w:r>
      <w:bookmarkEnd w:id="26"/>
      <w:bookmarkEnd w:id="27"/>
    </w:p>
    <w:p>
      <w:pPr>
        <w:spacing w:line="560" w:lineRule="exact"/>
        <w:ind w:firstLine="57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项目单位如能利用自身对项目的通晓优势，由单位相关各个业务部门共同参与建立最符合项目实际、最能体现项目绩效的个性化绩效指标和标准体系，对提高单位预算绩效管理水平，更好</w:t>
      </w:r>
      <w:r>
        <w:rPr>
          <w:rFonts w:hint="eastAsia" w:ascii="仿宋" w:hAnsi="仿宋" w:eastAsia="仿宋" w:cs="仿宋"/>
          <w:color w:val="auto"/>
          <w:sz w:val="32"/>
          <w:szCs w:val="32"/>
          <w:highlight w:val="none"/>
          <w:lang w:eastAsia="zh-CN"/>
        </w:rPr>
        <w:t>地</w:t>
      </w:r>
      <w:r>
        <w:rPr>
          <w:rFonts w:hint="eastAsia" w:ascii="仿宋" w:hAnsi="仿宋" w:eastAsia="仿宋" w:cs="仿宋"/>
          <w:color w:val="auto"/>
          <w:sz w:val="32"/>
          <w:szCs w:val="32"/>
          <w:highlight w:val="none"/>
        </w:rPr>
        <w:t>实现绩效评价目的是有帮助的。</w:t>
      </w:r>
    </w:p>
    <w:p>
      <w:pPr>
        <w:spacing w:line="560" w:lineRule="exact"/>
        <w:jc w:val="left"/>
        <w:outlineLvl w:val="0"/>
        <w:rPr>
          <w:rFonts w:hint="eastAsia" w:ascii="仿宋" w:hAnsi="仿宋" w:eastAsia="仿宋" w:cs="仿宋"/>
          <w:b/>
          <w:color w:val="auto"/>
          <w:sz w:val="32"/>
          <w:szCs w:val="32"/>
          <w:highlight w:val="none"/>
          <w:lang w:eastAsia="zh-CN"/>
        </w:rPr>
      </w:pPr>
      <w:bookmarkStart w:id="28" w:name="_Toc16624"/>
      <w:r>
        <w:rPr>
          <w:rFonts w:hint="eastAsia" w:ascii="仿宋" w:hAnsi="仿宋" w:eastAsia="仿宋" w:cs="仿宋"/>
          <w:b/>
          <w:color w:val="auto"/>
          <w:sz w:val="32"/>
          <w:szCs w:val="32"/>
          <w:highlight w:val="none"/>
        </w:rPr>
        <w:t>7、其他事项说明</w:t>
      </w:r>
      <w:bookmarkEnd w:id="28"/>
    </w:p>
    <w:p>
      <w:pPr>
        <w:bidi w:val="0"/>
        <w:ind w:firstLine="640" w:firstLineChars="200"/>
        <w:rPr>
          <w:rFonts w:ascii="仿宋" w:hAnsi="仿宋" w:eastAsia="仿宋" w:cs="仿宋"/>
          <w:color w:val="auto"/>
          <w:szCs w:val="32"/>
          <w:highlight w:val="none"/>
        </w:rPr>
      </w:pPr>
      <w:bookmarkStart w:id="29" w:name="_Toc30144"/>
      <w:r>
        <w:rPr>
          <w:rFonts w:hint="eastAsia" w:ascii="仿宋" w:hAnsi="仿宋" w:eastAsia="仿宋" w:cs="仿宋"/>
          <w:sz w:val="32"/>
          <w:szCs w:val="32"/>
        </w:rPr>
        <w:t>7.1本绩效评价报告是在项目实施单位提供资料的基础上形成的。</w:t>
      </w:r>
      <w:bookmarkEnd w:id="29"/>
    </w:p>
    <w:p>
      <w:pPr>
        <w:spacing w:line="560" w:lineRule="exact"/>
        <w:ind w:firstLine="56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7.2本绩效评价报告仅供赣州蓉江新区财政局开展“</w:t>
      </w:r>
      <w:r>
        <w:rPr>
          <w:rFonts w:hint="eastAsia" w:ascii="仿宋" w:hAnsi="仿宋" w:eastAsia="仿宋"/>
          <w:color w:val="auto"/>
          <w:sz w:val="32"/>
          <w:szCs w:val="32"/>
          <w:highlight w:val="none"/>
        </w:rPr>
        <w:t>赣州蓉江新区</w:t>
      </w:r>
      <w:r>
        <w:rPr>
          <w:rFonts w:hint="eastAsia" w:ascii="仿宋" w:hAnsi="仿宋" w:eastAsia="仿宋"/>
          <w:color w:val="auto"/>
          <w:sz w:val="32"/>
          <w:szCs w:val="32"/>
          <w:highlight w:val="none"/>
          <w:lang w:val="en-US" w:eastAsia="zh-CN"/>
        </w:rPr>
        <w:t>农业农村办公室</w:t>
      </w:r>
      <w:r>
        <w:rPr>
          <w:rFonts w:hint="eastAsia" w:ascii="仿宋" w:hAnsi="仿宋" w:eastAsia="仿宋"/>
          <w:color w:val="auto"/>
          <w:sz w:val="32"/>
          <w:szCs w:val="32"/>
          <w:highlight w:val="none"/>
          <w:lang w:eastAsia="zh-CN"/>
        </w:rPr>
        <w:t>2022年精准防贫保险项目</w:t>
      </w:r>
      <w:r>
        <w:rPr>
          <w:rFonts w:hint="eastAsia" w:ascii="仿宋" w:hAnsi="仿宋" w:eastAsia="仿宋" w:cs="仿宋"/>
          <w:color w:val="auto"/>
          <w:sz w:val="32"/>
          <w:szCs w:val="32"/>
          <w:highlight w:val="none"/>
        </w:rPr>
        <w:t>”绩效评价相关工作使用，不作他用。</w:t>
      </w:r>
    </w:p>
    <w:p>
      <w:pPr>
        <w:ind w:firstLine="280" w:firstLineChars="100"/>
        <w:rPr>
          <w:rFonts w:ascii="仿宋" w:hAnsi="仿宋" w:eastAsia="仿宋"/>
          <w:color w:val="auto"/>
          <w:sz w:val="28"/>
          <w:szCs w:val="28"/>
          <w:highlight w:val="none"/>
        </w:rPr>
      </w:pPr>
    </w:p>
    <w:p>
      <w:pPr>
        <w:ind w:firstLine="280" w:firstLineChars="100"/>
        <w:rPr>
          <w:rFonts w:ascii="仿宋" w:hAnsi="仿宋" w:eastAsia="仿宋"/>
          <w:color w:val="auto"/>
          <w:sz w:val="28"/>
          <w:szCs w:val="28"/>
          <w:highlight w:val="none"/>
        </w:rPr>
      </w:pPr>
    </w:p>
    <w:p>
      <w:pPr>
        <w:ind w:firstLine="2240" w:firstLineChars="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ind w:firstLine="5440" w:firstLineChars="1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2023年12月31</w:t>
      </w:r>
      <w:bookmarkStart w:id="30" w:name="_GoBack"/>
      <w:bookmarkEnd w:id="30"/>
      <w:r>
        <w:rPr>
          <w:rFonts w:hint="eastAsia" w:ascii="仿宋_GB2312" w:hAnsi="Times New Roman" w:eastAsia="仿宋_GB2312" w:cs="Times New Roman"/>
          <w:kern w:val="2"/>
          <w:sz w:val="32"/>
          <w:szCs w:val="32"/>
          <w:lang w:val="en-US" w:eastAsia="zh-CN" w:bidi="ar-SA"/>
        </w:rPr>
        <w:t>日</w:t>
      </w:r>
    </w:p>
    <w:p>
      <w:pPr>
        <w:ind w:firstLine="280" w:firstLineChars="100"/>
        <w:rPr>
          <w:rFonts w:ascii="仿宋" w:hAnsi="仿宋" w:eastAsia="仿宋"/>
          <w:color w:val="auto"/>
          <w:sz w:val="28"/>
          <w:szCs w:val="28"/>
          <w:highlight w:val="none"/>
        </w:rPr>
      </w:pPr>
    </w:p>
    <w:sectPr>
      <w:footerReference r:id="rId7" w:type="first"/>
      <w:footerReference r:id="rId6" w:type="default"/>
      <w:pgSz w:w="11906" w:h="16838"/>
      <w:pgMar w:top="1440" w:right="1474" w:bottom="1440" w:left="1474" w:header="851" w:footer="992" w:gutter="0"/>
      <w:pgNumType w:fmt="decimal" w:start="1"/>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pPr>
                          <w:r>
                            <w:fldChar w:fldCharType="begin"/>
                          </w:r>
                          <w:r>
                            <w:instrText xml:space="preserve"> PAGE  \* MERGEFORMAT </w:instrText>
                          </w:r>
                          <w:r>
                            <w:fldChar w:fldCharType="separate"/>
                          </w:r>
                          <w:r>
                            <w:t>25</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5Z8Gc8BAACqAwAADgAAAGRycy9lMm9Eb2MueG1srVPNjtMwEL4j8Q6W&#10;7zRppUV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7Ys&#10;VzdJod5jRYX3nkrj8BYG2ps5jhRMxIc22PQlSozypO/5qq8aIpPp0nq1XpeUkpSbHcIvHq77gPGd&#10;AsuSUfNAD5h1FacPGMfSuSR1c3CnjcmPaNxfAcIcIypvwXQ7MRknTlYc9sNEbw/Nmdj1tAk1d7T4&#10;nJn3joROSzMbYTb2s3H0QR+6vFWpO/o3x0gj5UlThxGWGCaHnjBzndYt7chjP1c9/GLb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BDlnwZzwEAAKoDAAAOAAAAAAAAAAEAIAAAAB4BAABkcnMv&#10;ZTJvRG9jLnhtbFBLBQYAAAAABgAGAFkBAABf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rPr>
        <w:rFonts w:asciiTheme="minorEastAsia" w:hAnsiTheme="minorEastAsia"/>
      </w:rPr>
    </w:pPr>
    <w:r>
      <w:rPr>
        <w:rFonts w:hint="eastAsia" w:asciiTheme="minorEastAsia" w:hAnsiTheme="minorEastAsia"/>
      </w:rPr>
      <w:t>赣州蓉江新区</w:t>
    </w:r>
    <w:r>
      <w:rPr>
        <w:rFonts w:hint="eastAsia" w:asciiTheme="minorEastAsia" w:hAnsiTheme="minorEastAsia"/>
        <w:lang w:val="en-US" w:eastAsia="zh-CN"/>
      </w:rPr>
      <w:t>农业农村工作办公室</w:t>
    </w:r>
    <w:r>
      <w:rPr>
        <w:rFonts w:hint="eastAsia" w:asciiTheme="minorEastAsia" w:hAnsiTheme="minorEastAsia"/>
        <w:lang w:eastAsia="zh-CN"/>
      </w:rPr>
      <w:t>2022年精准防贫保险项目</w:t>
    </w:r>
    <w:r>
      <w:rPr>
        <w:rFonts w:hint="eastAsia" w:asciiTheme="minorEastAsia" w:hAnsiTheme="minorEastAsia"/>
      </w:rPr>
      <w:t>支出绩效评价报告</w:t>
    </w:r>
  </w:p>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200C81"/>
    <w:multiLevelType w:val="singleLevel"/>
    <w:tmpl w:val="E8200C81"/>
    <w:lvl w:ilvl="0" w:tentative="0">
      <w:start w:val="1"/>
      <w:numFmt w:val="decimal"/>
      <w:suff w:val="nothing"/>
      <w:lvlText w:val="(%1）"/>
      <w:lvlJc w:val="left"/>
    </w:lvl>
  </w:abstractNum>
  <w:abstractNum w:abstractNumId="1">
    <w:nsid w:val="0E28169A"/>
    <w:multiLevelType w:val="singleLevel"/>
    <w:tmpl w:val="0E28169A"/>
    <w:lvl w:ilvl="0" w:tentative="0">
      <w:start w:val="1"/>
      <w:numFmt w:val="decimal"/>
      <w:suff w:val="nothing"/>
      <w:lvlText w:val="(%1）"/>
      <w:lvlJc w:val="left"/>
    </w:lvl>
  </w:abstractNum>
  <w:abstractNum w:abstractNumId="2">
    <w:nsid w:val="66745EB0"/>
    <w:multiLevelType w:val="singleLevel"/>
    <w:tmpl w:val="66745EB0"/>
    <w:lvl w:ilvl="0" w:tentative="0">
      <w:start w:val="3"/>
      <w:numFmt w:val="decimal"/>
      <w:suff w:val="nothing"/>
      <w:lvlText w:val="（%1）"/>
      <w:lvlJc w:val="left"/>
    </w:lvl>
  </w:abstractNum>
  <w:abstractNum w:abstractNumId="3">
    <w:nsid w:val="6674BEEB"/>
    <w:multiLevelType w:val="singleLevel"/>
    <w:tmpl w:val="6674BEEB"/>
    <w:lvl w:ilvl="0" w:tentative="0">
      <w:start w:val="1"/>
      <w:numFmt w:val="decimalEnclosedCircleChinese"/>
      <w:suff w:val="nothing"/>
      <w:lvlText w:val="%1　"/>
      <w:lvlJc w:val="left"/>
      <w:pPr>
        <w:ind w:left="0" w:firstLine="400"/>
      </w:pPr>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WIwZjg5ODFkNjdjN2ZkM2E5YTZlZmJlNDNiZjAifQ=="/>
  </w:docVars>
  <w:rsids>
    <w:rsidRoot w:val="003E6AC9"/>
    <w:rsid w:val="00000993"/>
    <w:rsid w:val="00000C5C"/>
    <w:rsid w:val="00000F17"/>
    <w:rsid w:val="0000105C"/>
    <w:rsid w:val="00003093"/>
    <w:rsid w:val="00006FA9"/>
    <w:rsid w:val="00007048"/>
    <w:rsid w:val="00010471"/>
    <w:rsid w:val="00010E2E"/>
    <w:rsid w:val="00013E22"/>
    <w:rsid w:val="00015235"/>
    <w:rsid w:val="00015EF6"/>
    <w:rsid w:val="00016B53"/>
    <w:rsid w:val="00017E5B"/>
    <w:rsid w:val="00017EC5"/>
    <w:rsid w:val="0002060F"/>
    <w:rsid w:val="000211FB"/>
    <w:rsid w:val="000213DE"/>
    <w:rsid w:val="000216FC"/>
    <w:rsid w:val="00022FC5"/>
    <w:rsid w:val="00022FCF"/>
    <w:rsid w:val="00024802"/>
    <w:rsid w:val="0002572B"/>
    <w:rsid w:val="00026CAA"/>
    <w:rsid w:val="0002702D"/>
    <w:rsid w:val="000342F5"/>
    <w:rsid w:val="00034586"/>
    <w:rsid w:val="00035EEF"/>
    <w:rsid w:val="000361F4"/>
    <w:rsid w:val="00036CBF"/>
    <w:rsid w:val="00040D8E"/>
    <w:rsid w:val="00042EC7"/>
    <w:rsid w:val="000447FC"/>
    <w:rsid w:val="00044A17"/>
    <w:rsid w:val="0004516C"/>
    <w:rsid w:val="00045E90"/>
    <w:rsid w:val="000465CE"/>
    <w:rsid w:val="0004698F"/>
    <w:rsid w:val="00047148"/>
    <w:rsid w:val="00047377"/>
    <w:rsid w:val="00047842"/>
    <w:rsid w:val="000507FE"/>
    <w:rsid w:val="00050EB6"/>
    <w:rsid w:val="00051A19"/>
    <w:rsid w:val="0005316D"/>
    <w:rsid w:val="00053F93"/>
    <w:rsid w:val="00054439"/>
    <w:rsid w:val="00054A1C"/>
    <w:rsid w:val="00054BB9"/>
    <w:rsid w:val="000562FE"/>
    <w:rsid w:val="000604BA"/>
    <w:rsid w:val="000605AD"/>
    <w:rsid w:val="00060ACB"/>
    <w:rsid w:val="0006150C"/>
    <w:rsid w:val="00061645"/>
    <w:rsid w:val="0006247E"/>
    <w:rsid w:val="00062ACA"/>
    <w:rsid w:val="000643DF"/>
    <w:rsid w:val="0006455E"/>
    <w:rsid w:val="000656B8"/>
    <w:rsid w:val="00065EEF"/>
    <w:rsid w:val="00067EDB"/>
    <w:rsid w:val="00067FD4"/>
    <w:rsid w:val="00072F36"/>
    <w:rsid w:val="00073C81"/>
    <w:rsid w:val="00073E18"/>
    <w:rsid w:val="000742A1"/>
    <w:rsid w:val="000746B8"/>
    <w:rsid w:val="00074A0C"/>
    <w:rsid w:val="00074C59"/>
    <w:rsid w:val="00074D47"/>
    <w:rsid w:val="00076980"/>
    <w:rsid w:val="00076AEF"/>
    <w:rsid w:val="00077042"/>
    <w:rsid w:val="000801C4"/>
    <w:rsid w:val="00080612"/>
    <w:rsid w:val="00082918"/>
    <w:rsid w:val="000841E7"/>
    <w:rsid w:val="000847DF"/>
    <w:rsid w:val="00087608"/>
    <w:rsid w:val="000876EF"/>
    <w:rsid w:val="00087741"/>
    <w:rsid w:val="0009094B"/>
    <w:rsid w:val="000909F4"/>
    <w:rsid w:val="00090A71"/>
    <w:rsid w:val="00092299"/>
    <w:rsid w:val="00093CFC"/>
    <w:rsid w:val="00094098"/>
    <w:rsid w:val="000954D5"/>
    <w:rsid w:val="000974C8"/>
    <w:rsid w:val="00097EC2"/>
    <w:rsid w:val="000A17FF"/>
    <w:rsid w:val="000A1EF6"/>
    <w:rsid w:val="000A21A2"/>
    <w:rsid w:val="000A2BF8"/>
    <w:rsid w:val="000A39A6"/>
    <w:rsid w:val="000A3E21"/>
    <w:rsid w:val="000A6717"/>
    <w:rsid w:val="000A6FC4"/>
    <w:rsid w:val="000A73C3"/>
    <w:rsid w:val="000B0EAF"/>
    <w:rsid w:val="000B1F31"/>
    <w:rsid w:val="000B200B"/>
    <w:rsid w:val="000B3F53"/>
    <w:rsid w:val="000B458A"/>
    <w:rsid w:val="000B4CE2"/>
    <w:rsid w:val="000C096C"/>
    <w:rsid w:val="000C2138"/>
    <w:rsid w:val="000C2903"/>
    <w:rsid w:val="000C3059"/>
    <w:rsid w:val="000C34AC"/>
    <w:rsid w:val="000C4DD3"/>
    <w:rsid w:val="000C56E7"/>
    <w:rsid w:val="000C580A"/>
    <w:rsid w:val="000C6232"/>
    <w:rsid w:val="000C7049"/>
    <w:rsid w:val="000C7C66"/>
    <w:rsid w:val="000D06B4"/>
    <w:rsid w:val="000D3327"/>
    <w:rsid w:val="000D37C7"/>
    <w:rsid w:val="000D3858"/>
    <w:rsid w:val="000D57C5"/>
    <w:rsid w:val="000D75A9"/>
    <w:rsid w:val="000E1230"/>
    <w:rsid w:val="000E131A"/>
    <w:rsid w:val="000E2044"/>
    <w:rsid w:val="000E2068"/>
    <w:rsid w:val="000E20BE"/>
    <w:rsid w:val="000E367D"/>
    <w:rsid w:val="000E3E05"/>
    <w:rsid w:val="000E42E5"/>
    <w:rsid w:val="000E4414"/>
    <w:rsid w:val="000E5CB4"/>
    <w:rsid w:val="000E7C4C"/>
    <w:rsid w:val="000F0F7E"/>
    <w:rsid w:val="000F1884"/>
    <w:rsid w:val="000F20CF"/>
    <w:rsid w:val="000F492E"/>
    <w:rsid w:val="000F75C4"/>
    <w:rsid w:val="000F7A99"/>
    <w:rsid w:val="001008C5"/>
    <w:rsid w:val="00100916"/>
    <w:rsid w:val="00101F23"/>
    <w:rsid w:val="001028B3"/>
    <w:rsid w:val="0010337B"/>
    <w:rsid w:val="0010407E"/>
    <w:rsid w:val="00105C79"/>
    <w:rsid w:val="00107C70"/>
    <w:rsid w:val="00107FCF"/>
    <w:rsid w:val="00110AE7"/>
    <w:rsid w:val="00110EC6"/>
    <w:rsid w:val="00110FF4"/>
    <w:rsid w:val="00112806"/>
    <w:rsid w:val="001134DC"/>
    <w:rsid w:val="001138B5"/>
    <w:rsid w:val="00113A1E"/>
    <w:rsid w:val="00113E31"/>
    <w:rsid w:val="0011699A"/>
    <w:rsid w:val="0011783B"/>
    <w:rsid w:val="0011784E"/>
    <w:rsid w:val="001178EF"/>
    <w:rsid w:val="00117B39"/>
    <w:rsid w:val="0012003C"/>
    <w:rsid w:val="00121596"/>
    <w:rsid w:val="00122686"/>
    <w:rsid w:val="00123059"/>
    <w:rsid w:val="00125649"/>
    <w:rsid w:val="0012613E"/>
    <w:rsid w:val="00126F13"/>
    <w:rsid w:val="00127833"/>
    <w:rsid w:val="00130097"/>
    <w:rsid w:val="00132A42"/>
    <w:rsid w:val="00132D6C"/>
    <w:rsid w:val="00134488"/>
    <w:rsid w:val="00134803"/>
    <w:rsid w:val="001358B8"/>
    <w:rsid w:val="00137346"/>
    <w:rsid w:val="00140A0E"/>
    <w:rsid w:val="00141DFD"/>
    <w:rsid w:val="00141F8B"/>
    <w:rsid w:val="00143AF1"/>
    <w:rsid w:val="00143CC0"/>
    <w:rsid w:val="00143CE6"/>
    <w:rsid w:val="00146E13"/>
    <w:rsid w:val="00147068"/>
    <w:rsid w:val="00147075"/>
    <w:rsid w:val="001472C6"/>
    <w:rsid w:val="001475D1"/>
    <w:rsid w:val="00151A0B"/>
    <w:rsid w:val="00152F8A"/>
    <w:rsid w:val="00154A51"/>
    <w:rsid w:val="00154BE7"/>
    <w:rsid w:val="0015659C"/>
    <w:rsid w:val="0015759A"/>
    <w:rsid w:val="0015768D"/>
    <w:rsid w:val="00160D27"/>
    <w:rsid w:val="00162692"/>
    <w:rsid w:val="001632CD"/>
    <w:rsid w:val="001660BA"/>
    <w:rsid w:val="001663E6"/>
    <w:rsid w:val="00167753"/>
    <w:rsid w:val="00167E6F"/>
    <w:rsid w:val="00171520"/>
    <w:rsid w:val="001724E2"/>
    <w:rsid w:val="00172BD8"/>
    <w:rsid w:val="00176731"/>
    <w:rsid w:val="00176BCE"/>
    <w:rsid w:val="00177013"/>
    <w:rsid w:val="001826FD"/>
    <w:rsid w:val="00183022"/>
    <w:rsid w:val="0018660A"/>
    <w:rsid w:val="00186BD3"/>
    <w:rsid w:val="00187EED"/>
    <w:rsid w:val="00191F87"/>
    <w:rsid w:val="00194AC6"/>
    <w:rsid w:val="00194B9B"/>
    <w:rsid w:val="00195E00"/>
    <w:rsid w:val="00197568"/>
    <w:rsid w:val="001A09F7"/>
    <w:rsid w:val="001A3210"/>
    <w:rsid w:val="001A3281"/>
    <w:rsid w:val="001A359B"/>
    <w:rsid w:val="001A38D1"/>
    <w:rsid w:val="001A3A8A"/>
    <w:rsid w:val="001A4822"/>
    <w:rsid w:val="001A524E"/>
    <w:rsid w:val="001A5E15"/>
    <w:rsid w:val="001A63FF"/>
    <w:rsid w:val="001A6CE3"/>
    <w:rsid w:val="001A6EF4"/>
    <w:rsid w:val="001A73EA"/>
    <w:rsid w:val="001A7948"/>
    <w:rsid w:val="001B1F63"/>
    <w:rsid w:val="001B1FF5"/>
    <w:rsid w:val="001B2B28"/>
    <w:rsid w:val="001B3104"/>
    <w:rsid w:val="001B3FAE"/>
    <w:rsid w:val="001B43BE"/>
    <w:rsid w:val="001B572E"/>
    <w:rsid w:val="001B5EDF"/>
    <w:rsid w:val="001B741B"/>
    <w:rsid w:val="001B7948"/>
    <w:rsid w:val="001B7BED"/>
    <w:rsid w:val="001B7E05"/>
    <w:rsid w:val="001C086B"/>
    <w:rsid w:val="001C0A86"/>
    <w:rsid w:val="001C0CC1"/>
    <w:rsid w:val="001C1493"/>
    <w:rsid w:val="001C1BD5"/>
    <w:rsid w:val="001C2C10"/>
    <w:rsid w:val="001C38F8"/>
    <w:rsid w:val="001C4EAC"/>
    <w:rsid w:val="001D0DE4"/>
    <w:rsid w:val="001D101B"/>
    <w:rsid w:val="001D138C"/>
    <w:rsid w:val="001D384D"/>
    <w:rsid w:val="001D3BCF"/>
    <w:rsid w:val="001D4743"/>
    <w:rsid w:val="001D51B0"/>
    <w:rsid w:val="001D5A2D"/>
    <w:rsid w:val="001D6AAF"/>
    <w:rsid w:val="001D7E12"/>
    <w:rsid w:val="001E01A4"/>
    <w:rsid w:val="001E1462"/>
    <w:rsid w:val="001E1914"/>
    <w:rsid w:val="001E298F"/>
    <w:rsid w:val="001E31E7"/>
    <w:rsid w:val="001E3BB5"/>
    <w:rsid w:val="001E48FC"/>
    <w:rsid w:val="001E5614"/>
    <w:rsid w:val="001E5B5C"/>
    <w:rsid w:val="001E7090"/>
    <w:rsid w:val="001F0EA1"/>
    <w:rsid w:val="001F18D5"/>
    <w:rsid w:val="001F24EC"/>
    <w:rsid w:val="001F2BB5"/>
    <w:rsid w:val="001F388F"/>
    <w:rsid w:val="001F3AB8"/>
    <w:rsid w:val="001F6428"/>
    <w:rsid w:val="001F6F88"/>
    <w:rsid w:val="00200CED"/>
    <w:rsid w:val="00200DD1"/>
    <w:rsid w:val="00204DB6"/>
    <w:rsid w:val="0020505A"/>
    <w:rsid w:val="00210409"/>
    <w:rsid w:val="002105F0"/>
    <w:rsid w:val="00212821"/>
    <w:rsid w:val="00217D81"/>
    <w:rsid w:val="00220C99"/>
    <w:rsid w:val="00221AFD"/>
    <w:rsid w:val="00222992"/>
    <w:rsid w:val="002232C0"/>
    <w:rsid w:val="00223950"/>
    <w:rsid w:val="002239D2"/>
    <w:rsid w:val="00224636"/>
    <w:rsid w:val="0022539D"/>
    <w:rsid w:val="00225A4B"/>
    <w:rsid w:val="00225CAE"/>
    <w:rsid w:val="00226889"/>
    <w:rsid w:val="002273CC"/>
    <w:rsid w:val="00230F76"/>
    <w:rsid w:val="00233846"/>
    <w:rsid w:val="00234096"/>
    <w:rsid w:val="002404F7"/>
    <w:rsid w:val="00242276"/>
    <w:rsid w:val="00242A21"/>
    <w:rsid w:val="00244B53"/>
    <w:rsid w:val="00244ED8"/>
    <w:rsid w:val="00245448"/>
    <w:rsid w:val="00245F35"/>
    <w:rsid w:val="0024653F"/>
    <w:rsid w:val="00246D4F"/>
    <w:rsid w:val="002506FB"/>
    <w:rsid w:val="00251084"/>
    <w:rsid w:val="002515BC"/>
    <w:rsid w:val="002522FE"/>
    <w:rsid w:val="00252D8D"/>
    <w:rsid w:val="0025465A"/>
    <w:rsid w:val="00256672"/>
    <w:rsid w:val="002567EE"/>
    <w:rsid w:val="00256A3E"/>
    <w:rsid w:val="00260767"/>
    <w:rsid w:val="0026204E"/>
    <w:rsid w:val="002627AA"/>
    <w:rsid w:val="00265A98"/>
    <w:rsid w:val="00266311"/>
    <w:rsid w:val="00267888"/>
    <w:rsid w:val="0027286B"/>
    <w:rsid w:val="00273BF5"/>
    <w:rsid w:val="002818C1"/>
    <w:rsid w:val="00282B7C"/>
    <w:rsid w:val="002833B1"/>
    <w:rsid w:val="002842A9"/>
    <w:rsid w:val="00285CB6"/>
    <w:rsid w:val="002860F0"/>
    <w:rsid w:val="00287342"/>
    <w:rsid w:val="00290BD5"/>
    <w:rsid w:val="00290E32"/>
    <w:rsid w:val="0029172C"/>
    <w:rsid w:val="00291C3B"/>
    <w:rsid w:val="00291F3B"/>
    <w:rsid w:val="00292CF4"/>
    <w:rsid w:val="002971FF"/>
    <w:rsid w:val="00297F8B"/>
    <w:rsid w:val="002A0470"/>
    <w:rsid w:val="002A077B"/>
    <w:rsid w:val="002A2E8D"/>
    <w:rsid w:val="002A31C0"/>
    <w:rsid w:val="002A4794"/>
    <w:rsid w:val="002A5ECD"/>
    <w:rsid w:val="002A70A8"/>
    <w:rsid w:val="002A73B0"/>
    <w:rsid w:val="002A7992"/>
    <w:rsid w:val="002B1377"/>
    <w:rsid w:val="002B22E1"/>
    <w:rsid w:val="002B3429"/>
    <w:rsid w:val="002B4602"/>
    <w:rsid w:val="002C0EB7"/>
    <w:rsid w:val="002C202A"/>
    <w:rsid w:val="002C3100"/>
    <w:rsid w:val="002C551A"/>
    <w:rsid w:val="002C581E"/>
    <w:rsid w:val="002C5E82"/>
    <w:rsid w:val="002D0445"/>
    <w:rsid w:val="002D165B"/>
    <w:rsid w:val="002D1C25"/>
    <w:rsid w:val="002D21B7"/>
    <w:rsid w:val="002D331D"/>
    <w:rsid w:val="002D37B6"/>
    <w:rsid w:val="002D50DA"/>
    <w:rsid w:val="002D5C9B"/>
    <w:rsid w:val="002E11F1"/>
    <w:rsid w:val="002E182F"/>
    <w:rsid w:val="002E394D"/>
    <w:rsid w:val="002E3D90"/>
    <w:rsid w:val="002E4045"/>
    <w:rsid w:val="002E4318"/>
    <w:rsid w:val="002E5444"/>
    <w:rsid w:val="002F1671"/>
    <w:rsid w:val="002F1B74"/>
    <w:rsid w:val="002F20F7"/>
    <w:rsid w:val="002F213C"/>
    <w:rsid w:val="002F283C"/>
    <w:rsid w:val="002F3DB9"/>
    <w:rsid w:val="002F459A"/>
    <w:rsid w:val="002F4E85"/>
    <w:rsid w:val="002F53D0"/>
    <w:rsid w:val="002F58AE"/>
    <w:rsid w:val="00300633"/>
    <w:rsid w:val="00300C6C"/>
    <w:rsid w:val="00302662"/>
    <w:rsid w:val="00302D5C"/>
    <w:rsid w:val="00305514"/>
    <w:rsid w:val="00306592"/>
    <w:rsid w:val="00307810"/>
    <w:rsid w:val="00310546"/>
    <w:rsid w:val="0031348A"/>
    <w:rsid w:val="00313D1A"/>
    <w:rsid w:val="00314CE4"/>
    <w:rsid w:val="00317F1B"/>
    <w:rsid w:val="003237C5"/>
    <w:rsid w:val="00325B03"/>
    <w:rsid w:val="00327A4E"/>
    <w:rsid w:val="00327AD2"/>
    <w:rsid w:val="00331B8A"/>
    <w:rsid w:val="00332D81"/>
    <w:rsid w:val="00333BF4"/>
    <w:rsid w:val="00334EFE"/>
    <w:rsid w:val="0033635A"/>
    <w:rsid w:val="00336691"/>
    <w:rsid w:val="00336AA5"/>
    <w:rsid w:val="00337D23"/>
    <w:rsid w:val="00343862"/>
    <w:rsid w:val="00344A89"/>
    <w:rsid w:val="00345F37"/>
    <w:rsid w:val="00346385"/>
    <w:rsid w:val="00347250"/>
    <w:rsid w:val="00352F1C"/>
    <w:rsid w:val="003551D7"/>
    <w:rsid w:val="0035533B"/>
    <w:rsid w:val="00355786"/>
    <w:rsid w:val="003563C0"/>
    <w:rsid w:val="00356709"/>
    <w:rsid w:val="00357263"/>
    <w:rsid w:val="0035798D"/>
    <w:rsid w:val="0036069B"/>
    <w:rsid w:val="00360C87"/>
    <w:rsid w:val="0036327B"/>
    <w:rsid w:val="0036327D"/>
    <w:rsid w:val="00363919"/>
    <w:rsid w:val="00363A2D"/>
    <w:rsid w:val="00364A91"/>
    <w:rsid w:val="003674D0"/>
    <w:rsid w:val="00371CD8"/>
    <w:rsid w:val="00372AD0"/>
    <w:rsid w:val="00372FE3"/>
    <w:rsid w:val="00375942"/>
    <w:rsid w:val="00376E15"/>
    <w:rsid w:val="00376ECA"/>
    <w:rsid w:val="00377A48"/>
    <w:rsid w:val="003804E4"/>
    <w:rsid w:val="00380FA8"/>
    <w:rsid w:val="00381C37"/>
    <w:rsid w:val="0038216F"/>
    <w:rsid w:val="00382788"/>
    <w:rsid w:val="00384EAF"/>
    <w:rsid w:val="0038641B"/>
    <w:rsid w:val="00386911"/>
    <w:rsid w:val="00386DA0"/>
    <w:rsid w:val="003873B4"/>
    <w:rsid w:val="00387742"/>
    <w:rsid w:val="0038782A"/>
    <w:rsid w:val="00390DD3"/>
    <w:rsid w:val="00391699"/>
    <w:rsid w:val="00391A04"/>
    <w:rsid w:val="00392603"/>
    <w:rsid w:val="00392652"/>
    <w:rsid w:val="00392F47"/>
    <w:rsid w:val="00393775"/>
    <w:rsid w:val="00393870"/>
    <w:rsid w:val="00394958"/>
    <w:rsid w:val="0039588A"/>
    <w:rsid w:val="00397651"/>
    <w:rsid w:val="003A2947"/>
    <w:rsid w:val="003A313A"/>
    <w:rsid w:val="003A3693"/>
    <w:rsid w:val="003A43B9"/>
    <w:rsid w:val="003A43EA"/>
    <w:rsid w:val="003A5B89"/>
    <w:rsid w:val="003A6777"/>
    <w:rsid w:val="003A7BAE"/>
    <w:rsid w:val="003B0F34"/>
    <w:rsid w:val="003B0F89"/>
    <w:rsid w:val="003B1934"/>
    <w:rsid w:val="003B211D"/>
    <w:rsid w:val="003B3C2C"/>
    <w:rsid w:val="003B57CF"/>
    <w:rsid w:val="003B591A"/>
    <w:rsid w:val="003B5AD7"/>
    <w:rsid w:val="003B7400"/>
    <w:rsid w:val="003B750C"/>
    <w:rsid w:val="003C21F6"/>
    <w:rsid w:val="003C350A"/>
    <w:rsid w:val="003D0F5B"/>
    <w:rsid w:val="003D11C7"/>
    <w:rsid w:val="003D1302"/>
    <w:rsid w:val="003D1707"/>
    <w:rsid w:val="003D3C1D"/>
    <w:rsid w:val="003D5EA2"/>
    <w:rsid w:val="003D6DED"/>
    <w:rsid w:val="003D7045"/>
    <w:rsid w:val="003E0E2E"/>
    <w:rsid w:val="003E39AF"/>
    <w:rsid w:val="003E6AC9"/>
    <w:rsid w:val="003E7376"/>
    <w:rsid w:val="003F4268"/>
    <w:rsid w:val="003F5D38"/>
    <w:rsid w:val="003F6AB7"/>
    <w:rsid w:val="003F737D"/>
    <w:rsid w:val="003F7863"/>
    <w:rsid w:val="004021AA"/>
    <w:rsid w:val="00402FE9"/>
    <w:rsid w:val="00403EE5"/>
    <w:rsid w:val="0040431E"/>
    <w:rsid w:val="00404322"/>
    <w:rsid w:val="0040456E"/>
    <w:rsid w:val="00404604"/>
    <w:rsid w:val="0040483F"/>
    <w:rsid w:val="00404F43"/>
    <w:rsid w:val="0040554D"/>
    <w:rsid w:val="00405A28"/>
    <w:rsid w:val="004101F9"/>
    <w:rsid w:val="0041055D"/>
    <w:rsid w:val="0041067D"/>
    <w:rsid w:val="0041211E"/>
    <w:rsid w:val="004139DE"/>
    <w:rsid w:val="00413DED"/>
    <w:rsid w:val="0041422C"/>
    <w:rsid w:val="00414973"/>
    <w:rsid w:val="00415650"/>
    <w:rsid w:val="00415761"/>
    <w:rsid w:val="00415882"/>
    <w:rsid w:val="00415E07"/>
    <w:rsid w:val="00416F9D"/>
    <w:rsid w:val="00417BD0"/>
    <w:rsid w:val="00417F42"/>
    <w:rsid w:val="00420009"/>
    <w:rsid w:val="00423D31"/>
    <w:rsid w:val="0042469E"/>
    <w:rsid w:val="00425C8E"/>
    <w:rsid w:val="00425DC5"/>
    <w:rsid w:val="00426E99"/>
    <w:rsid w:val="00430318"/>
    <w:rsid w:val="004304DB"/>
    <w:rsid w:val="00432D7C"/>
    <w:rsid w:val="0043306A"/>
    <w:rsid w:val="0043546E"/>
    <w:rsid w:val="00435D48"/>
    <w:rsid w:val="00437D3F"/>
    <w:rsid w:val="00441743"/>
    <w:rsid w:val="00443453"/>
    <w:rsid w:val="004435F3"/>
    <w:rsid w:val="00443DDE"/>
    <w:rsid w:val="004446C8"/>
    <w:rsid w:val="00445218"/>
    <w:rsid w:val="00445977"/>
    <w:rsid w:val="00446480"/>
    <w:rsid w:val="00451D9F"/>
    <w:rsid w:val="0045271A"/>
    <w:rsid w:val="00453CEE"/>
    <w:rsid w:val="00455FF4"/>
    <w:rsid w:val="004606F0"/>
    <w:rsid w:val="00461587"/>
    <w:rsid w:val="004619CC"/>
    <w:rsid w:val="00461B9B"/>
    <w:rsid w:val="004632C0"/>
    <w:rsid w:val="00463FDE"/>
    <w:rsid w:val="004642C4"/>
    <w:rsid w:val="0046508E"/>
    <w:rsid w:val="00471069"/>
    <w:rsid w:val="0047136A"/>
    <w:rsid w:val="00471A11"/>
    <w:rsid w:val="00472056"/>
    <w:rsid w:val="00472D18"/>
    <w:rsid w:val="00472DAC"/>
    <w:rsid w:val="004731BD"/>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00BF"/>
    <w:rsid w:val="00491E71"/>
    <w:rsid w:val="00492F1B"/>
    <w:rsid w:val="004930D4"/>
    <w:rsid w:val="004961BB"/>
    <w:rsid w:val="004A0F89"/>
    <w:rsid w:val="004A15DD"/>
    <w:rsid w:val="004A2771"/>
    <w:rsid w:val="004A2F5B"/>
    <w:rsid w:val="004A373F"/>
    <w:rsid w:val="004A5A8B"/>
    <w:rsid w:val="004A614B"/>
    <w:rsid w:val="004A7469"/>
    <w:rsid w:val="004A7FDE"/>
    <w:rsid w:val="004B02B3"/>
    <w:rsid w:val="004B0990"/>
    <w:rsid w:val="004B0A8F"/>
    <w:rsid w:val="004B1388"/>
    <w:rsid w:val="004B371B"/>
    <w:rsid w:val="004B499D"/>
    <w:rsid w:val="004B5920"/>
    <w:rsid w:val="004B608B"/>
    <w:rsid w:val="004B79AA"/>
    <w:rsid w:val="004C03AD"/>
    <w:rsid w:val="004C2AB3"/>
    <w:rsid w:val="004C2AE3"/>
    <w:rsid w:val="004C531B"/>
    <w:rsid w:val="004C58E9"/>
    <w:rsid w:val="004C61EB"/>
    <w:rsid w:val="004C726A"/>
    <w:rsid w:val="004D0B70"/>
    <w:rsid w:val="004D382E"/>
    <w:rsid w:val="004D51A8"/>
    <w:rsid w:val="004D6512"/>
    <w:rsid w:val="004D6AF6"/>
    <w:rsid w:val="004D7382"/>
    <w:rsid w:val="004D73D6"/>
    <w:rsid w:val="004E03E5"/>
    <w:rsid w:val="004E09FD"/>
    <w:rsid w:val="004E1192"/>
    <w:rsid w:val="004E1F70"/>
    <w:rsid w:val="004E20D8"/>
    <w:rsid w:val="004E2C0E"/>
    <w:rsid w:val="004E43AE"/>
    <w:rsid w:val="004E6A56"/>
    <w:rsid w:val="004E71B5"/>
    <w:rsid w:val="004F1B08"/>
    <w:rsid w:val="004F2687"/>
    <w:rsid w:val="004F37BC"/>
    <w:rsid w:val="004F50ED"/>
    <w:rsid w:val="004F5E9E"/>
    <w:rsid w:val="004F7B55"/>
    <w:rsid w:val="004F7E1F"/>
    <w:rsid w:val="004F7F74"/>
    <w:rsid w:val="0050177B"/>
    <w:rsid w:val="00501D4A"/>
    <w:rsid w:val="005039B2"/>
    <w:rsid w:val="005059BB"/>
    <w:rsid w:val="00506DCA"/>
    <w:rsid w:val="00507A75"/>
    <w:rsid w:val="0051066E"/>
    <w:rsid w:val="005107D3"/>
    <w:rsid w:val="0051141A"/>
    <w:rsid w:val="0051353A"/>
    <w:rsid w:val="005151E7"/>
    <w:rsid w:val="00515469"/>
    <w:rsid w:val="00515BB7"/>
    <w:rsid w:val="00516CCB"/>
    <w:rsid w:val="00516DFF"/>
    <w:rsid w:val="005175B4"/>
    <w:rsid w:val="00520A86"/>
    <w:rsid w:val="00521ADD"/>
    <w:rsid w:val="00522C97"/>
    <w:rsid w:val="00525211"/>
    <w:rsid w:val="00530C01"/>
    <w:rsid w:val="00530C83"/>
    <w:rsid w:val="005319AF"/>
    <w:rsid w:val="005322D4"/>
    <w:rsid w:val="005350AF"/>
    <w:rsid w:val="005362E5"/>
    <w:rsid w:val="00536808"/>
    <w:rsid w:val="00536969"/>
    <w:rsid w:val="00537CF0"/>
    <w:rsid w:val="005404B5"/>
    <w:rsid w:val="00541010"/>
    <w:rsid w:val="0054179B"/>
    <w:rsid w:val="00541E8F"/>
    <w:rsid w:val="00542911"/>
    <w:rsid w:val="00544964"/>
    <w:rsid w:val="00547676"/>
    <w:rsid w:val="00547E63"/>
    <w:rsid w:val="00553B7C"/>
    <w:rsid w:val="00554EB6"/>
    <w:rsid w:val="00555694"/>
    <w:rsid w:val="005561AA"/>
    <w:rsid w:val="005572C1"/>
    <w:rsid w:val="005616E7"/>
    <w:rsid w:val="00562592"/>
    <w:rsid w:val="00563E55"/>
    <w:rsid w:val="00564FE6"/>
    <w:rsid w:val="0056500E"/>
    <w:rsid w:val="00565052"/>
    <w:rsid w:val="00566564"/>
    <w:rsid w:val="00566E0D"/>
    <w:rsid w:val="00566EF2"/>
    <w:rsid w:val="00566FED"/>
    <w:rsid w:val="0056758A"/>
    <w:rsid w:val="005677E0"/>
    <w:rsid w:val="00567CDD"/>
    <w:rsid w:val="00567DB3"/>
    <w:rsid w:val="00570277"/>
    <w:rsid w:val="00571494"/>
    <w:rsid w:val="005718B2"/>
    <w:rsid w:val="00572880"/>
    <w:rsid w:val="00573B51"/>
    <w:rsid w:val="005740C0"/>
    <w:rsid w:val="00575EA8"/>
    <w:rsid w:val="00576E47"/>
    <w:rsid w:val="00580C8C"/>
    <w:rsid w:val="00581790"/>
    <w:rsid w:val="00581F8A"/>
    <w:rsid w:val="00582A14"/>
    <w:rsid w:val="0058319E"/>
    <w:rsid w:val="005833C6"/>
    <w:rsid w:val="0058669A"/>
    <w:rsid w:val="00586C0B"/>
    <w:rsid w:val="00586C31"/>
    <w:rsid w:val="00587CA0"/>
    <w:rsid w:val="00587E64"/>
    <w:rsid w:val="0059196B"/>
    <w:rsid w:val="0059232E"/>
    <w:rsid w:val="00593C27"/>
    <w:rsid w:val="00595C96"/>
    <w:rsid w:val="00596E0C"/>
    <w:rsid w:val="005A1B61"/>
    <w:rsid w:val="005A47E7"/>
    <w:rsid w:val="005A5C61"/>
    <w:rsid w:val="005A5F5E"/>
    <w:rsid w:val="005A63C4"/>
    <w:rsid w:val="005B1339"/>
    <w:rsid w:val="005B1448"/>
    <w:rsid w:val="005B14E1"/>
    <w:rsid w:val="005B2A39"/>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5873"/>
    <w:rsid w:val="005C66A5"/>
    <w:rsid w:val="005C7117"/>
    <w:rsid w:val="005D059F"/>
    <w:rsid w:val="005D0E4D"/>
    <w:rsid w:val="005D1084"/>
    <w:rsid w:val="005D14AA"/>
    <w:rsid w:val="005D33AB"/>
    <w:rsid w:val="005D377E"/>
    <w:rsid w:val="005D3DF0"/>
    <w:rsid w:val="005D4035"/>
    <w:rsid w:val="005D5193"/>
    <w:rsid w:val="005D6058"/>
    <w:rsid w:val="005E1B5F"/>
    <w:rsid w:val="005E27D0"/>
    <w:rsid w:val="005E2C76"/>
    <w:rsid w:val="005E32EF"/>
    <w:rsid w:val="005E446A"/>
    <w:rsid w:val="005E47DE"/>
    <w:rsid w:val="005E4BE1"/>
    <w:rsid w:val="005E53E9"/>
    <w:rsid w:val="005E54D5"/>
    <w:rsid w:val="005E7B80"/>
    <w:rsid w:val="005F0A3E"/>
    <w:rsid w:val="005F2C97"/>
    <w:rsid w:val="005F3C31"/>
    <w:rsid w:val="005F3C9B"/>
    <w:rsid w:val="005F420B"/>
    <w:rsid w:val="005F4BCE"/>
    <w:rsid w:val="005F5956"/>
    <w:rsid w:val="005F5F55"/>
    <w:rsid w:val="005F746A"/>
    <w:rsid w:val="005F7E75"/>
    <w:rsid w:val="00600D58"/>
    <w:rsid w:val="006010C7"/>
    <w:rsid w:val="00602F87"/>
    <w:rsid w:val="00603698"/>
    <w:rsid w:val="006042C2"/>
    <w:rsid w:val="006042D2"/>
    <w:rsid w:val="0060431F"/>
    <w:rsid w:val="0060505A"/>
    <w:rsid w:val="0060546D"/>
    <w:rsid w:val="00605E9E"/>
    <w:rsid w:val="00606F77"/>
    <w:rsid w:val="00610E79"/>
    <w:rsid w:val="0061333C"/>
    <w:rsid w:val="00614BB6"/>
    <w:rsid w:val="00614E74"/>
    <w:rsid w:val="006170F9"/>
    <w:rsid w:val="00617829"/>
    <w:rsid w:val="00622339"/>
    <w:rsid w:val="00623960"/>
    <w:rsid w:val="00623C8F"/>
    <w:rsid w:val="00623DB9"/>
    <w:rsid w:val="00624669"/>
    <w:rsid w:val="006255FB"/>
    <w:rsid w:val="0062602A"/>
    <w:rsid w:val="00630BD3"/>
    <w:rsid w:val="00631793"/>
    <w:rsid w:val="00632475"/>
    <w:rsid w:val="006337F0"/>
    <w:rsid w:val="00633905"/>
    <w:rsid w:val="00633B04"/>
    <w:rsid w:val="0063490B"/>
    <w:rsid w:val="00635957"/>
    <w:rsid w:val="00640F90"/>
    <w:rsid w:val="0064110A"/>
    <w:rsid w:val="006419DD"/>
    <w:rsid w:val="006438A2"/>
    <w:rsid w:val="0064417F"/>
    <w:rsid w:val="00644395"/>
    <w:rsid w:val="00644E89"/>
    <w:rsid w:val="00644E8C"/>
    <w:rsid w:val="0064553D"/>
    <w:rsid w:val="00645F58"/>
    <w:rsid w:val="00647BCF"/>
    <w:rsid w:val="00650F0C"/>
    <w:rsid w:val="00655692"/>
    <w:rsid w:val="00660162"/>
    <w:rsid w:val="00660D5F"/>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667E"/>
    <w:rsid w:val="0067722E"/>
    <w:rsid w:val="00677768"/>
    <w:rsid w:val="00680BB0"/>
    <w:rsid w:val="0068161A"/>
    <w:rsid w:val="00681B08"/>
    <w:rsid w:val="00682210"/>
    <w:rsid w:val="0068468E"/>
    <w:rsid w:val="0068493A"/>
    <w:rsid w:val="00690E2E"/>
    <w:rsid w:val="006913E5"/>
    <w:rsid w:val="006914A4"/>
    <w:rsid w:val="00692614"/>
    <w:rsid w:val="00692695"/>
    <w:rsid w:val="006935DD"/>
    <w:rsid w:val="00693B1C"/>
    <w:rsid w:val="00694B71"/>
    <w:rsid w:val="00694D51"/>
    <w:rsid w:val="0069587F"/>
    <w:rsid w:val="00696C1C"/>
    <w:rsid w:val="0069704D"/>
    <w:rsid w:val="006A021E"/>
    <w:rsid w:val="006A1E1E"/>
    <w:rsid w:val="006A3EEB"/>
    <w:rsid w:val="006A46FC"/>
    <w:rsid w:val="006A5B96"/>
    <w:rsid w:val="006A6104"/>
    <w:rsid w:val="006A6A67"/>
    <w:rsid w:val="006A7B6D"/>
    <w:rsid w:val="006A7CF6"/>
    <w:rsid w:val="006B17C4"/>
    <w:rsid w:val="006B2CE7"/>
    <w:rsid w:val="006B6172"/>
    <w:rsid w:val="006B76DD"/>
    <w:rsid w:val="006B7C5A"/>
    <w:rsid w:val="006C1983"/>
    <w:rsid w:val="006C1D45"/>
    <w:rsid w:val="006C36A3"/>
    <w:rsid w:val="006C4789"/>
    <w:rsid w:val="006C4D55"/>
    <w:rsid w:val="006C5B05"/>
    <w:rsid w:val="006C5D20"/>
    <w:rsid w:val="006C6108"/>
    <w:rsid w:val="006C662A"/>
    <w:rsid w:val="006C6B50"/>
    <w:rsid w:val="006C7FE7"/>
    <w:rsid w:val="006D0478"/>
    <w:rsid w:val="006D0CC3"/>
    <w:rsid w:val="006D1F69"/>
    <w:rsid w:val="006D4E6B"/>
    <w:rsid w:val="006D5449"/>
    <w:rsid w:val="006D6214"/>
    <w:rsid w:val="006D6908"/>
    <w:rsid w:val="006D6F92"/>
    <w:rsid w:val="006E0CE9"/>
    <w:rsid w:val="006E1496"/>
    <w:rsid w:val="006E2D56"/>
    <w:rsid w:val="006E4434"/>
    <w:rsid w:val="006E466E"/>
    <w:rsid w:val="006E4B78"/>
    <w:rsid w:val="006E4EFA"/>
    <w:rsid w:val="006E5051"/>
    <w:rsid w:val="006E5850"/>
    <w:rsid w:val="006E6279"/>
    <w:rsid w:val="006E72E4"/>
    <w:rsid w:val="006E7D57"/>
    <w:rsid w:val="006F0089"/>
    <w:rsid w:val="006F28C5"/>
    <w:rsid w:val="006F36BE"/>
    <w:rsid w:val="006F3EBF"/>
    <w:rsid w:val="006F467F"/>
    <w:rsid w:val="006F6932"/>
    <w:rsid w:val="006F78A7"/>
    <w:rsid w:val="0070079F"/>
    <w:rsid w:val="007047F4"/>
    <w:rsid w:val="007052F0"/>
    <w:rsid w:val="00705D2E"/>
    <w:rsid w:val="007068C1"/>
    <w:rsid w:val="00706AA7"/>
    <w:rsid w:val="00706C04"/>
    <w:rsid w:val="00710898"/>
    <w:rsid w:val="007111B8"/>
    <w:rsid w:val="00711553"/>
    <w:rsid w:val="007118BF"/>
    <w:rsid w:val="007131E9"/>
    <w:rsid w:val="00713465"/>
    <w:rsid w:val="0071462D"/>
    <w:rsid w:val="00714644"/>
    <w:rsid w:val="007172D5"/>
    <w:rsid w:val="0072558C"/>
    <w:rsid w:val="007274EF"/>
    <w:rsid w:val="00727656"/>
    <w:rsid w:val="00727970"/>
    <w:rsid w:val="00727FE4"/>
    <w:rsid w:val="007302B7"/>
    <w:rsid w:val="007330F7"/>
    <w:rsid w:val="00734C6F"/>
    <w:rsid w:val="007353A5"/>
    <w:rsid w:val="00735A59"/>
    <w:rsid w:val="0073653B"/>
    <w:rsid w:val="007403B5"/>
    <w:rsid w:val="00740A0B"/>
    <w:rsid w:val="007410A2"/>
    <w:rsid w:val="00741241"/>
    <w:rsid w:val="007413A1"/>
    <w:rsid w:val="00741C70"/>
    <w:rsid w:val="00742F4A"/>
    <w:rsid w:val="00742FA9"/>
    <w:rsid w:val="00743B29"/>
    <w:rsid w:val="00747DA2"/>
    <w:rsid w:val="00750C38"/>
    <w:rsid w:val="00752840"/>
    <w:rsid w:val="00753C1D"/>
    <w:rsid w:val="0075497E"/>
    <w:rsid w:val="0075663B"/>
    <w:rsid w:val="00760A07"/>
    <w:rsid w:val="00762A89"/>
    <w:rsid w:val="00762E18"/>
    <w:rsid w:val="00762F60"/>
    <w:rsid w:val="0076354A"/>
    <w:rsid w:val="007664C9"/>
    <w:rsid w:val="00766660"/>
    <w:rsid w:val="00766E1A"/>
    <w:rsid w:val="00770C09"/>
    <w:rsid w:val="00770C2E"/>
    <w:rsid w:val="007714DC"/>
    <w:rsid w:val="00771E46"/>
    <w:rsid w:val="00772CC4"/>
    <w:rsid w:val="0077456F"/>
    <w:rsid w:val="00775309"/>
    <w:rsid w:val="007756FE"/>
    <w:rsid w:val="00776764"/>
    <w:rsid w:val="007773AD"/>
    <w:rsid w:val="00780066"/>
    <w:rsid w:val="00780BBE"/>
    <w:rsid w:val="00781195"/>
    <w:rsid w:val="00782185"/>
    <w:rsid w:val="0078278F"/>
    <w:rsid w:val="007832CB"/>
    <w:rsid w:val="007834FF"/>
    <w:rsid w:val="007835D7"/>
    <w:rsid w:val="00785EC7"/>
    <w:rsid w:val="00786826"/>
    <w:rsid w:val="0078696C"/>
    <w:rsid w:val="007877BA"/>
    <w:rsid w:val="00787DF2"/>
    <w:rsid w:val="00790FE3"/>
    <w:rsid w:val="007914A4"/>
    <w:rsid w:val="00791A45"/>
    <w:rsid w:val="00791B1D"/>
    <w:rsid w:val="0079207F"/>
    <w:rsid w:val="00792625"/>
    <w:rsid w:val="00793534"/>
    <w:rsid w:val="0079470F"/>
    <w:rsid w:val="00794D6D"/>
    <w:rsid w:val="007952AA"/>
    <w:rsid w:val="0079585D"/>
    <w:rsid w:val="00796E20"/>
    <w:rsid w:val="007A0265"/>
    <w:rsid w:val="007A0E20"/>
    <w:rsid w:val="007A1966"/>
    <w:rsid w:val="007A1B5C"/>
    <w:rsid w:val="007A2299"/>
    <w:rsid w:val="007A297F"/>
    <w:rsid w:val="007A3F95"/>
    <w:rsid w:val="007A5A43"/>
    <w:rsid w:val="007A5C63"/>
    <w:rsid w:val="007A657A"/>
    <w:rsid w:val="007A6B65"/>
    <w:rsid w:val="007B04EB"/>
    <w:rsid w:val="007B164B"/>
    <w:rsid w:val="007B20BB"/>
    <w:rsid w:val="007B2288"/>
    <w:rsid w:val="007B2B4C"/>
    <w:rsid w:val="007B2BB7"/>
    <w:rsid w:val="007B2D35"/>
    <w:rsid w:val="007B44EB"/>
    <w:rsid w:val="007B4502"/>
    <w:rsid w:val="007B5E1B"/>
    <w:rsid w:val="007B6EC3"/>
    <w:rsid w:val="007C01AA"/>
    <w:rsid w:val="007C06BC"/>
    <w:rsid w:val="007C0F05"/>
    <w:rsid w:val="007C16D2"/>
    <w:rsid w:val="007C2FF5"/>
    <w:rsid w:val="007C3A70"/>
    <w:rsid w:val="007C404D"/>
    <w:rsid w:val="007C614B"/>
    <w:rsid w:val="007D0198"/>
    <w:rsid w:val="007D059E"/>
    <w:rsid w:val="007D0BD6"/>
    <w:rsid w:val="007D0CCE"/>
    <w:rsid w:val="007D5750"/>
    <w:rsid w:val="007D6ADF"/>
    <w:rsid w:val="007D716D"/>
    <w:rsid w:val="007D7A3B"/>
    <w:rsid w:val="007E0083"/>
    <w:rsid w:val="007E0C81"/>
    <w:rsid w:val="007E4939"/>
    <w:rsid w:val="007E4C7F"/>
    <w:rsid w:val="007E5631"/>
    <w:rsid w:val="007E614B"/>
    <w:rsid w:val="007F047B"/>
    <w:rsid w:val="007F07AC"/>
    <w:rsid w:val="007F094C"/>
    <w:rsid w:val="007F1930"/>
    <w:rsid w:val="007F1C84"/>
    <w:rsid w:val="007F3D65"/>
    <w:rsid w:val="007F458D"/>
    <w:rsid w:val="007F5057"/>
    <w:rsid w:val="007F59D0"/>
    <w:rsid w:val="007F5DF3"/>
    <w:rsid w:val="007F63DD"/>
    <w:rsid w:val="00800356"/>
    <w:rsid w:val="008008FE"/>
    <w:rsid w:val="00802B78"/>
    <w:rsid w:val="00802F0F"/>
    <w:rsid w:val="00803B8F"/>
    <w:rsid w:val="00803ED8"/>
    <w:rsid w:val="00803FEE"/>
    <w:rsid w:val="00804F0F"/>
    <w:rsid w:val="008052A3"/>
    <w:rsid w:val="008062E5"/>
    <w:rsid w:val="00806452"/>
    <w:rsid w:val="00810631"/>
    <w:rsid w:val="008108A2"/>
    <w:rsid w:val="00810C39"/>
    <w:rsid w:val="00810D60"/>
    <w:rsid w:val="008115C5"/>
    <w:rsid w:val="0081364C"/>
    <w:rsid w:val="0081386D"/>
    <w:rsid w:val="008146CD"/>
    <w:rsid w:val="00814B1C"/>
    <w:rsid w:val="00817243"/>
    <w:rsid w:val="008179CE"/>
    <w:rsid w:val="00820533"/>
    <w:rsid w:val="00820A60"/>
    <w:rsid w:val="00822588"/>
    <w:rsid w:val="00822FCA"/>
    <w:rsid w:val="00823B0F"/>
    <w:rsid w:val="00824191"/>
    <w:rsid w:val="00824A1C"/>
    <w:rsid w:val="00824AC8"/>
    <w:rsid w:val="00826274"/>
    <w:rsid w:val="00826E56"/>
    <w:rsid w:val="0082756A"/>
    <w:rsid w:val="00827D18"/>
    <w:rsid w:val="00830B56"/>
    <w:rsid w:val="00832FD9"/>
    <w:rsid w:val="00833DBE"/>
    <w:rsid w:val="00835A49"/>
    <w:rsid w:val="00836309"/>
    <w:rsid w:val="00836925"/>
    <w:rsid w:val="00840BC5"/>
    <w:rsid w:val="00841C86"/>
    <w:rsid w:val="00841F35"/>
    <w:rsid w:val="00842161"/>
    <w:rsid w:val="008441B6"/>
    <w:rsid w:val="00847C4D"/>
    <w:rsid w:val="00851720"/>
    <w:rsid w:val="00851C4C"/>
    <w:rsid w:val="00853187"/>
    <w:rsid w:val="00853494"/>
    <w:rsid w:val="00853DEB"/>
    <w:rsid w:val="00853FF3"/>
    <w:rsid w:val="0086024C"/>
    <w:rsid w:val="008605BB"/>
    <w:rsid w:val="0086136D"/>
    <w:rsid w:val="008613D8"/>
    <w:rsid w:val="008615ED"/>
    <w:rsid w:val="0086179F"/>
    <w:rsid w:val="008622C4"/>
    <w:rsid w:val="008632CF"/>
    <w:rsid w:val="00865043"/>
    <w:rsid w:val="00866ABD"/>
    <w:rsid w:val="00867B58"/>
    <w:rsid w:val="00870F55"/>
    <w:rsid w:val="00871098"/>
    <w:rsid w:val="00871538"/>
    <w:rsid w:val="0087280E"/>
    <w:rsid w:val="00874E0F"/>
    <w:rsid w:val="00874F74"/>
    <w:rsid w:val="0087561B"/>
    <w:rsid w:val="008777C5"/>
    <w:rsid w:val="00880A9D"/>
    <w:rsid w:val="0088151D"/>
    <w:rsid w:val="00881E35"/>
    <w:rsid w:val="008873A6"/>
    <w:rsid w:val="0089008D"/>
    <w:rsid w:val="00896041"/>
    <w:rsid w:val="008974E4"/>
    <w:rsid w:val="008A10D6"/>
    <w:rsid w:val="008A2209"/>
    <w:rsid w:val="008A2D72"/>
    <w:rsid w:val="008A370F"/>
    <w:rsid w:val="008A578E"/>
    <w:rsid w:val="008A7D3D"/>
    <w:rsid w:val="008B0E89"/>
    <w:rsid w:val="008B1781"/>
    <w:rsid w:val="008B23CB"/>
    <w:rsid w:val="008B2611"/>
    <w:rsid w:val="008B4468"/>
    <w:rsid w:val="008B4875"/>
    <w:rsid w:val="008B5DAC"/>
    <w:rsid w:val="008B798C"/>
    <w:rsid w:val="008C1494"/>
    <w:rsid w:val="008C14FC"/>
    <w:rsid w:val="008C28CE"/>
    <w:rsid w:val="008C2955"/>
    <w:rsid w:val="008C2A94"/>
    <w:rsid w:val="008C498F"/>
    <w:rsid w:val="008C5E6B"/>
    <w:rsid w:val="008D183D"/>
    <w:rsid w:val="008D49C5"/>
    <w:rsid w:val="008D576F"/>
    <w:rsid w:val="008D5F6B"/>
    <w:rsid w:val="008D66CF"/>
    <w:rsid w:val="008D68E0"/>
    <w:rsid w:val="008D6B53"/>
    <w:rsid w:val="008D79E1"/>
    <w:rsid w:val="008E2B0B"/>
    <w:rsid w:val="008E2C96"/>
    <w:rsid w:val="008E2F47"/>
    <w:rsid w:val="008E6119"/>
    <w:rsid w:val="008E68B6"/>
    <w:rsid w:val="008E70C3"/>
    <w:rsid w:val="008E70F6"/>
    <w:rsid w:val="008F104A"/>
    <w:rsid w:val="008F1241"/>
    <w:rsid w:val="008F451F"/>
    <w:rsid w:val="008F67B0"/>
    <w:rsid w:val="008F77F5"/>
    <w:rsid w:val="00901D4E"/>
    <w:rsid w:val="009030E4"/>
    <w:rsid w:val="00903189"/>
    <w:rsid w:val="009037A0"/>
    <w:rsid w:val="00903977"/>
    <w:rsid w:val="009042BE"/>
    <w:rsid w:val="009059A8"/>
    <w:rsid w:val="0090617F"/>
    <w:rsid w:val="00913853"/>
    <w:rsid w:val="009148C4"/>
    <w:rsid w:val="00915735"/>
    <w:rsid w:val="00915B26"/>
    <w:rsid w:val="009179DD"/>
    <w:rsid w:val="0092023C"/>
    <w:rsid w:val="00921FBA"/>
    <w:rsid w:val="00923368"/>
    <w:rsid w:val="00923BD9"/>
    <w:rsid w:val="009241E7"/>
    <w:rsid w:val="00925425"/>
    <w:rsid w:val="009270D5"/>
    <w:rsid w:val="009300DC"/>
    <w:rsid w:val="00930B66"/>
    <w:rsid w:val="00931911"/>
    <w:rsid w:val="009319BF"/>
    <w:rsid w:val="0093349A"/>
    <w:rsid w:val="00933901"/>
    <w:rsid w:val="00933FB3"/>
    <w:rsid w:val="00935552"/>
    <w:rsid w:val="00936404"/>
    <w:rsid w:val="0094122C"/>
    <w:rsid w:val="00943431"/>
    <w:rsid w:val="0094725E"/>
    <w:rsid w:val="0094736F"/>
    <w:rsid w:val="009516F1"/>
    <w:rsid w:val="0095275C"/>
    <w:rsid w:val="00953011"/>
    <w:rsid w:val="00954B2E"/>
    <w:rsid w:val="00954BD2"/>
    <w:rsid w:val="00954EA2"/>
    <w:rsid w:val="00955AB4"/>
    <w:rsid w:val="009615AF"/>
    <w:rsid w:val="0096219A"/>
    <w:rsid w:val="00962453"/>
    <w:rsid w:val="009624F0"/>
    <w:rsid w:val="00962EC2"/>
    <w:rsid w:val="00963D61"/>
    <w:rsid w:val="00964B8B"/>
    <w:rsid w:val="00965AF3"/>
    <w:rsid w:val="00967224"/>
    <w:rsid w:val="0096758F"/>
    <w:rsid w:val="00967B13"/>
    <w:rsid w:val="00971B5F"/>
    <w:rsid w:val="00972965"/>
    <w:rsid w:val="00972A51"/>
    <w:rsid w:val="00972F3B"/>
    <w:rsid w:val="009744A4"/>
    <w:rsid w:val="009766BA"/>
    <w:rsid w:val="00976A6D"/>
    <w:rsid w:val="009777B6"/>
    <w:rsid w:val="0098201C"/>
    <w:rsid w:val="00983601"/>
    <w:rsid w:val="009836BD"/>
    <w:rsid w:val="00984FD1"/>
    <w:rsid w:val="00985737"/>
    <w:rsid w:val="0098580E"/>
    <w:rsid w:val="00985D6F"/>
    <w:rsid w:val="00986147"/>
    <w:rsid w:val="009861B2"/>
    <w:rsid w:val="00990CC9"/>
    <w:rsid w:val="00990F7A"/>
    <w:rsid w:val="0099189E"/>
    <w:rsid w:val="00991D47"/>
    <w:rsid w:val="009920BF"/>
    <w:rsid w:val="009923F2"/>
    <w:rsid w:val="00992A3E"/>
    <w:rsid w:val="0099421D"/>
    <w:rsid w:val="009978A9"/>
    <w:rsid w:val="00997DBA"/>
    <w:rsid w:val="009A0AD0"/>
    <w:rsid w:val="009A0C6B"/>
    <w:rsid w:val="009A0E8E"/>
    <w:rsid w:val="009A0F4D"/>
    <w:rsid w:val="009A1046"/>
    <w:rsid w:val="009A24B4"/>
    <w:rsid w:val="009A397F"/>
    <w:rsid w:val="009A50E3"/>
    <w:rsid w:val="009A53BC"/>
    <w:rsid w:val="009B6D9C"/>
    <w:rsid w:val="009B7849"/>
    <w:rsid w:val="009B79D1"/>
    <w:rsid w:val="009B7F64"/>
    <w:rsid w:val="009C030A"/>
    <w:rsid w:val="009C11DD"/>
    <w:rsid w:val="009C1517"/>
    <w:rsid w:val="009C1967"/>
    <w:rsid w:val="009C3250"/>
    <w:rsid w:val="009C43FF"/>
    <w:rsid w:val="009C590C"/>
    <w:rsid w:val="009C5E01"/>
    <w:rsid w:val="009C60E3"/>
    <w:rsid w:val="009C61E1"/>
    <w:rsid w:val="009C642F"/>
    <w:rsid w:val="009C71C9"/>
    <w:rsid w:val="009C7F08"/>
    <w:rsid w:val="009D0030"/>
    <w:rsid w:val="009D02CB"/>
    <w:rsid w:val="009D0666"/>
    <w:rsid w:val="009D0DB0"/>
    <w:rsid w:val="009D2972"/>
    <w:rsid w:val="009D3244"/>
    <w:rsid w:val="009D47AC"/>
    <w:rsid w:val="009E14A3"/>
    <w:rsid w:val="009E1946"/>
    <w:rsid w:val="009E1C98"/>
    <w:rsid w:val="009E1F29"/>
    <w:rsid w:val="009E2535"/>
    <w:rsid w:val="009E26ED"/>
    <w:rsid w:val="009E2AE0"/>
    <w:rsid w:val="009E3ACF"/>
    <w:rsid w:val="009E67C0"/>
    <w:rsid w:val="009E6B99"/>
    <w:rsid w:val="009F2070"/>
    <w:rsid w:val="009F2197"/>
    <w:rsid w:val="009F2DFF"/>
    <w:rsid w:val="009F3C45"/>
    <w:rsid w:val="009F3DA3"/>
    <w:rsid w:val="009F5CA2"/>
    <w:rsid w:val="009F6561"/>
    <w:rsid w:val="009F6E6E"/>
    <w:rsid w:val="00A0041E"/>
    <w:rsid w:val="00A01BCC"/>
    <w:rsid w:val="00A02405"/>
    <w:rsid w:val="00A02974"/>
    <w:rsid w:val="00A04183"/>
    <w:rsid w:val="00A0629B"/>
    <w:rsid w:val="00A063C6"/>
    <w:rsid w:val="00A1114B"/>
    <w:rsid w:val="00A11658"/>
    <w:rsid w:val="00A11D74"/>
    <w:rsid w:val="00A1217D"/>
    <w:rsid w:val="00A12738"/>
    <w:rsid w:val="00A13DBA"/>
    <w:rsid w:val="00A15140"/>
    <w:rsid w:val="00A157FD"/>
    <w:rsid w:val="00A162E0"/>
    <w:rsid w:val="00A1691C"/>
    <w:rsid w:val="00A17889"/>
    <w:rsid w:val="00A225E8"/>
    <w:rsid w:val="00A22968"/>
    <w:rsid w:val="00A2377D"/>
    <w:rsid w:val="00A24293"/>
    <w:rsid w:val="00A26E1D"/>
    <w:rsid w:val="00A274D0"/>
    <w:rsid w:val="00A27B7F"/>
    <w:rsid w:val="00A27CEE"/>
    <w:rsid w:val="00A30A43"/>
    <w:rsid w:val="00A30ACC"/>
    <w:rsid w:val="00A32398"/>
    <w:rsid w:val="00A34B57"/>
    <w:rsid w:val="00A36B29"/>
    <w:rsid w:val="00A42DD4"/>
    <w:rsid w:val="00A435D3"/>
    <w:rsid w:val="00A43CFB"/>
    <w:rsid w:val="00A46E7D"/>
    <w:rsid w:val="00A47F6E"/>
    <w:rsid w:val="00A5180C"/>
    <w:rsid w:val="00A52B62"/>
    <w:rsid w:val="00A5447B"/>
    <w:rsid w:val="00A54538"/>
    <w:rsid w:val="00A54F4A"/>
    <w:rsid w:val="00A55044"/>
    <w:rsid w:val="00A57848"/>
    <w:rsid w:val="00A60503"/>
    <w:rsid w:val="00A62807"/>
    <w:rsid w:val="00A62937"/>
    <w:rsid w:val="00A6329E"/>
    <w:rsid w:val="00A63740"/>
    <w:rsid w:val="00A64E93"/>
    <w:rsid w:val="00A65BAC"/>
    <w:rsid w:val="00A65F9E"/>
    <w:rsid w:val="00A67979"/>
    <w:rsid w:val="00A726EF"/>
    <w:rsid w:val="00A73802"/>
    <w:rsid w:val="00A739CB"/>
    <w:rsid w:val="00A75218"/>
    <w:rsid w:val="00A806D5"/>
    <w:rsid w:val="00A81372"/>
    <w:rsid w:val="00A81E7E"/>
    <w:rsid w:val="00A8305C"/>
    <w:rsid w:val="00A83798"/>
    <w:rsid w:val="00A8403D"/>
    <w:rsid w:val="00A85A2E"/>
    <w:rsid w:val="00A85E89"/>
    <w:rsid w:val="00A8663C"/>
    <w:rsid w:val="00A86947"/>
    <w:rsid w:val="00A86B75"/>
    <w:rsid w:val="00A86F8E"/>
    <w:rsid w:val="00A87F6D"/>
    <w:rsid w:val="00A90419"/>
    <w:rsid w:val="00A9462A"/>
    <w:rsid w:val="00A97374"/>
    <w:rsid w:val="00AA0CBD"/>
    <w:rsid w:val="00AA1D11"/>
    <w:rsid w:val="00AA2996"/>
    <w:rsid w:val="00AA2D1E"/>
    <w:rsid w:val="00AA33A2"/>
    <w:rsid w:val="00AA3E91"/>
    <w:rsid w:val="00AA3FB3"/>
    <w:rsid w:val="00AA545A"/>
    <w:rsid w:val="00AA6803"/>
    <w:rsid w:val="00AA6831"/>
    <w:rsid w:val="00AB063D"/>
    <w:rsid w:val="00AB1CC4"/>
    <w:rsid w:val="00AB22B1"/>
    <w:rsid w:val="00AB3697"/>
    <w:rsid w:val="00AB3F42"/>
    <w:rsid w:val="00AB5BDE"/>
    <w:rsid w:val="00AB6A50"/>
    <w:rsid w:val="00AB72FC"/>
    <w:rsid w:val="00AB7894"/>
    <w:rsid w:val="00AB7A99"/>
    <w:rsid w:val="00AB7CD2"/>
    <w:rsid w:val="00AC2366"/>
    <w:rsid w:val="00AC305E"/>
    <w:rsid w:val="00AC3FA5"/>
    <w:rsid w:val="00AC4055"/>
    <w:rsid w:val="00AC4786"/>
    <w:rsid w:val="00AC4E4E"/>
    <w:rsid w:val="00AC4F41"/>
    <w:rsid w:val="00AC5DCC"/>
    <w:rsid w:val="00AC63CE"/>
    <w:rsid w:val="00AC73D0"/>
    <w:rsid w:val="00AC7E51"/>
    <w:rsid w:val="00AD0751"/>
    <w:rsid w:val="00AD14AE"/>
    <w:rsid w:val="00AD22F6"/>
    <w:rsid w:val="00AD26ED"/>
    <w:rsid w:val="00AD32DA"/>
    <w:rsid w:val="00AD3E6C"/>
    <w:rsid w:val="00AD670D"/>
    <w:rsid w:val="00AD6F1F"/>
    <w:rsid w:val="00AD7139"/>
    <w:rsid w:val="00AE252F"/>
    <w:rsid w:val="00AE2A50"/>
    <w:rsid w:val="00AE2B17"/>
    <w:rsid w:val="00AE304A"/>
    <w:rsid w:val="00AE3389"/>
    <w:rsid w:val="00AE452E"/>
    <w:rsid w:val="00AE5675"/>
    <w:rsid w:val="00AF1E24"/>
    <w:rsid w:val="00AF1EC6"/>
    <w:rsid w:val="00AF23F3"/>
    <w:rsid w:val="00AF249C"/>
    <w:rsid w:val="00AF25A5"/>
    <w:rsid w:val="00AF3B10"/>
    <w:rsid w:val="00AF660C"/>
    <w:rsid w:val="00AF699D"/>
    <w:rsid w:val="00AF734B"/>
    <w:rsid w:val="00B00487"/>
    <w:rsid w:val="00B0048B"/>
    <w:rsid w:val="00B0110F"/>
    <w:rsid w:val="00B024F4"/>
    <w:rsid w:val="00B02807"/>
    <w:rsid w:val="00B031BE"/>
    <w:rsid w:val="00B03847"/>
    <w:rsid w:val="00B0480E"/>
    <w:rsid w:val="00B04917"/>
    <w:rsid w:val="00B05533"/>
    <w:rsid w:val="00B05BDA"/>
    <w:rsid w:val="00B0730A"/>
    <w:rsid w:val="00B10A08"/>
    <w:rsid w:val="00B12AD9"/>
    <w:rsid w:val="00B12AE1"/>
    <w:rsid w:val="00B15BA6"/>
    <w:rsid w:val="00B15BB4"/>
    <w:rsid w:val="00B15BE8"/>
    <w:rsid w:val="00B17920"/>
    <w:rsid w:val="00B20B82"/>
    <w:rsid w:val="00B22106"/>
    <w:rsid w:val="00B225FD"/>
    <w:rsid w:val="00B22FED"/>
    <w:rsid w:val="00B23FE1"/>
    <w:rsid w:val="00B25334"/>
    <w:rsid w:val="00B300AA"/>
    <w:rsid w:val="00B318E6"/>
    <w:rsid w:val="00B3268A"/>
    <w:rsid w:val="00B34FB5"/>
    <w:rsid w:val="00B3595B"/>
    <w:rsid w:val="00B36FC4"/>
    <w:rsid w:val="00B37AA1"/>
    <w:rsid w:val="00B40B8F"/>
    <w:rsid w:val="00B40D4D"/>
    <w:rsid w:val="00B410E9"/>
    <w:rsid w:val="00B41556"/>
    <w:rsid w:val="00B41B78"/>
    <w:rsid w:val="00B42106"/>
    <w:rsid w:val="00B421EA"/>
    <w:rsid w:val="00B433E3"/>
    <w:rsid w:val="00B438C4"/>
    <w:rsid w:val="00B43BF2"/>
    <w:rsid w:val="00B43D7B"/>
    <w:rsid w:val="00B4426C"/>
    <w:rsid w:val="00B44D0E"/>
    <w:rsid w:val="00B4756D"/>
    <w:rsid w:val="00B5186A"/>
    <w:rsid w:val="00B51AF6"/>
    <w:rsid w:val="00B54132"/>
    <w:rsid w:val="00B5457F"/>
    <w:rsid w:val="00B54918"/>
    <w:rsid w:val="00B551CC"/>
    <w:rsid w:val="00B55316"/>
    <w:rsid w:val="00B5591E"/>
    <w:rsid w:val="00B55C8F"/>
    <w:rsid w:val="00B55FC0"/>
    <w:rsid w:val="00B617C5"/>
    <w:rsid w:val="00B61A10"/>
    <w:rsid w:val="00B62DFD"/>
    <w:rsid w:val="00B63057"/>
    <w:rsid w:val="00B645DB"/>
    <w:rsid w:val="00B675E0"/>
    <w:rsid w:val="00B70F8B"/>
    <w:rsid w:val="00B7209D"/>
    <w:rsid w:val="00B725C1"/>
    <w:rsid w:val="00B73E87"/>
    <w:rsid w:val="00B7400F"/>
    <w:rsid w:val="00B7419D"/>
    <w:rsid w:val="00B749E4"/>
    <w:rsid w:val="00B7530B"/>
    <w:rsid w:val="00B77678"/>
    <w:rsid w:val="00B77E06"/>
    <w:rsid w:val="00B807E7"/>
    <w:rsid w:val="00B81097"/>
    <w:rsid w:val="00B810A2"/>
    <w:rsid w:val="00B814C4"/>
    <w:rsid w:val="00B81BB8"/>
    <w:rsid w:val="00B827FF"/>
    <w:rsid w:val="00B87154"/>
    <w:rsid w:val="00B875F2"/>
    <w:rsid w:val="00B90B28"/>
    <w:rsid w:val="00B919DA"/>
    <w:rsid w:val="00B93590"/>
    <w:rsid w:val="00B9414B"/>
    <w:rsid w:val="00B95ECE"/>
    <w:rsid w:val="00B9624F"/>
    <w:rsid w:val="00B974C7"/>
    <w:rsid w:val="00B97759"/>
    <w:rsid w:val="00B97AC8"/>
    <w:rsid w:val="00BA3278"/>
    <w:rsid w:val="00BA3EFE"/>
    <w:rsid w:val="00BA4CC3"/>
    <w:rsid w:val="00BB0233"/>
    <w:rsid w:val="00BB06AB"/>
    <w:rsid w:val="00BB0976"/>
    <w:rsid w:val="00BB0DAA"/>
    <w:rsid w:val="00BB23DD"/>
    <w:rsid w:val="00BB2FAD"/>
    <w:rsid w:val="00BB4831"/>
    <w:rsid w:val="00BB5143"/>
    <w:rsid w:val="00BB570D"/>
    <w:rsid w:val="00BC1BEC"/>
    <w:rsid w:val="00BC1EAE"/>
    <w:rsid w:val="00BC2443"/>
    <w:rsid w:val="00BC3408"/>
    <w:rsid w:val="00BC6A18"/>
    <w:rsid w:val="00BD0712"/>
    <w:rsid w:val="00BD29E9"/>
    <w:rsid w:val="00BD2E03"/>
    <w:rsid w:val="00BD3278"/>
    <w:rsid w:val="00BD3A80"/>
    <w:rsid w:val="00BD40E6"/>
    <w:rsid w:val="00BD5355"/>
    <w:rsid w:val="00BE2735"/>
    <w:rsid w:val="00BE3020"/>
    <w:rsid w:val="00BE40B0"/>
    <w:rsid w:val="00BE4D20"/>
    <w:rsid w:val="00BE4EB4"/>
    <w:rsid w:val="00BE5378"/>
    <w:rsid w:val="00BE6622"/>
    <w:rsid w:val="00BE72B3"/>
    <w:rsid w:val="00BF14D1"/>
    <w:rsid w:val="00BF1642"/>
    <w:rsid w:val="00BF1871"/>
    <w:rsid w:val="00BF18BA"/>
    <w:rsid w:val="00BF2494"/>
    <w:rsid w:val="00BF24CB"/>
    <w:rsid w:val="00BF3B71"/>
    <w:rsid w:val="00BF4050"/>
    <w:rsid w:val="00BF6783"/>
    <w:rsid w:val="00BF68A0"/>
    <w:rsid w:val="00BF68AB"/>
    <w:rsid w:val="00BF7C1F"/>
    <w:rsid w:val="00BF7CFE"/>
    <w:rsid w:val="00C000D7"/>
    <w:rsid w:val="00C00154"/>
    <w:rsid w:val="00C0207B"/>
    <w:rsid w:val="00C04E1E"/>
    <w:rsid w:val="00C055EF"/>
    <w:rsid w:val="00C06659"/>
    <w:rsid w:val="00C07AD8"/>
    <w:rsid w:val="00C106E6"/>
    <w:rsid w:val="00C14975"/>
    <w:rsid w:val="00C1568C"/>
    <w:rsid w:val="00C1795D"/>
    <w:rsid w:val="00C17A93"/>
    <w:rsid w:val="00C204AA"/>
    <w:rsid w:val="00C220BA"/>
    <w:rsid w:val="00C226EB"/>
    <w:rsid w:val="00C25051"/>
    <w:rsid w:val="00C25708"/>
    <w:rsid w:val="00C3242C"/>
    <w:rsid w:val="00C361A5"/>
    <w:rsid w:val="00C36730"/>
    <w:rsid w:val="00C36AA9"/>
    <w:rsid w:val="00C36ABA"/>
    <w:rsid w:val="00C40040"/>
    <w:rsid w:val="00C42485"/>
    <w:rsid w:val="00C4288C"/>
    <w:rsid w:val="00C436D0"/>
    <w:rsid w:val="00C44315"/>
    <w:rsid w:val="00C44A9B"/>
    <w:rsid w:val="00C452E3"/>
    <w:rsid w:val="00C454AC"/>
    <w:rsid w:val="00C46395"/>
    <w:rsid w:val="00C46AB7"/>
    <w:rsid w:val="00C47658"/>
    <w:rsid w:val="00C47A7C"/>
    <w:rsid w:val="00C51FED"/>
    <w:rsid w:val="00C52655"/>
    <w:rsid w:val="00C533CC"/>
    <w:rsid w:val="00C540CD"/>
    <w:rsid w:val="00C54461"/>
    <w:rsid w:val="00C55424"/>
    <w:rsid w:val="00C55563"/>
    <w:rsid w:val="00C55B9B"/>
    <w:rsid w:val="00C57785"/>
    <w:rsid w:val="00C57C10"/>
    <w:rsid w:val="00C60758"/>
    <w:rsid w:val="00C60BDD"/>
    <w:rsid w:val="00C625F8"/>
    <w:rsid w:val="00C636F3"/>
    <w:rsid w:val="00C65C99"/>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17D1"/>
    <w:rsid w:val="00C81C06"/>
    <w:rsid w:val="00C82207"/>
    <w:rsid w:val="00C82CD4"/>
    <w:rsid w:val="00C83601"/>
    <w:rsid w:val="00C84D47"/>
    <w:rsid w:val="00C860BC"/>
    <w:rsid w:val="00C865D7"/>
    <w:rsid w:val="00C87D1C"/>
    <w:rsid w:val="00C9076A"/>
    <w:rsid w:val="00C91588"/>
    <w:rsid w:val="00C91E29"/>
    <w:rsid w:val="00C92699"/>
    <w:rsid w:val="00C95D5A"/>
    <w:rsid w:val="00CA32D3"/>
    <w:rsid w:val="00CA4CAB"/>
    <w:rsid w:val="00CA4CD4"/>
    <w:rsid w:val="00CA5C10"/>
    <w:rsid w:val="00CA6644"/>
    <w:rsid w:val="00CA6E2D"/>
    <w:rsid w:val="00CA7A4F"/>
    <w:rsid w:val="00CB2DCC"/>
    <w:rsid w:val="00CB33E6"/>
    <w:rsid w:val="00CB5569"/>
    <w:rsid w:val="00CB5A31"/>
    <w:rsid w:val="00CC0423"/>
    <w:rsid w:val="00CC153A"/>
    <w:rsid w:val="00CC153C"/>
    <w:rsid w:val="00CC1D7D"/>
    <w:rsid w:val="00CC27DE"/>
    <w:rsid w:val="00CC419B"/>
    <w:rsid w:val="00CC4883"/>
    <w:rsid w:val="00CC5BA7"/>
    <w:rsid w:val="00CC5E68"/>
    <w:rsid w:val="00CC5F26"/>
    <w:rsid w:val="00CC61B9"/>
    <w:rsid w:val="00CC6415"/>
    <w:rsid w:val="00CC77CC"/>
    <w:rsid w:val="00CC79D2"/>
    <w:rsid w:val="00CD1162"/>
    <w:rsid w:val="00CD1976"/>
    <w:rsid w:val="00CD2CE8"/>
    <w:rsid w:val="00CD38A6"/>
    <w:rsid w:val="00CD38BC"/>
    <w:rsid w:val="00CD3E1B"/>
    <w:rsid w:val="00CD5E85"/>
    <w:rsid w:val="00CD68ED"/>
    <w:rsid w:val="00CD73A3"/>
    <w:rsid w:val="00CD73BB"/>
    <w:rsid w:val="00CE00C8"/>
    <w:rsid w:val="00CE15C9"/>
    <w:rsid w:val="00CE35BF"/>
    <w:rsid w:val="00CE37F2"/>
    <w:rsid w:val="00CE47D8"/>
    <w:rsid w:val="00CE5AC6"/>
    <w:rsid w:val="00CE63F3"/>
    <w:rsid w:val="00CE7AAD"/>
    <w:rsid w:val="00CF1AE0"/>
    <w:rsid w:val="00CF1D57"/>
    <w:rsid w:val="00CF392D"/>
    <w:rsid w:val="00CF4105"/>
    <w:rsid w:val="00CF4F7C"/>
    <w:rsid w:val="00CF602E"/>
    <w:rsid w:val="00CF7899"/>
    <w:rsid w:val="00CF7A3E"/>
    <w:rsid w:val="00D004B1"/>
    <w:rsid w:val="00D0099C"/>
    <w:rsid w:val="00D01886"/>
    <w:rsid w:val="00D02B82"/>
    <w:rsid w:val="00D039E9"/>
    <w:rsid w:val="00D050F8"/>
    <w:rsid w:val="00D055B6"/>
    <w:rsid w:val="00D05E53"/>
    <w:rsid w:val="00D06093"/>
    <w:rsid w:val="00D07FFA"/>
    <w:rsid w:val="00D10B76"/>
    <w:rsid w:val="00D10DDF"/>
    <w:rsid w:val="00D11772"/>
    <w:rsid w:val="00D11D8E"/>
    <w:rsid w:val="00D12198"/>
    <w:rsid w:val="00D128E1"/>
    <w:rsid w:val="00D132B9"/>
    <w:rsid w:val="00D147BF"/>
    <w:rsid w:val="00D16B34"/>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372EA"/>
    <w:rsid w:val="00D40109"/>
    <w:rsid w:val="00D40598"/>
    <w:rsid w:val="00D41267"/>
    <w:rsid w:val="00D41FBF"/>
    <w:rsid w:val="00D430C5"/>
    <w:rsid w:val="00D432D7"/>
    <w:rsid w:val="00D432FB"/>
    <w:rsid w:val="00D43DAC"/>
    <w:rsid w:val="00D4724C"/>
    <w:rsid w:val="00D47BC3"/>
    <w:rsid w:val="00D47F75"/>
    <w:rsid w:val="00D500B5"/>
    <w:rsid w:val="00D50231"/>
    <w:rsid w:val="00D50B9E"/>
    <w:rsid w:val="00D5417D"/>
    <w:rsid w:val="00D54197"/>
    <w:rsid w:val="00D546CF"/>
    <w:rsid w:val="00D54EB6"/>
    <w:rsid w:val="00D569DA"/>
    <w:rsid w:val="00D57040"/>
    <w:rsid w:val="00D57C90"/>
    <w:rsid w:val="00D57FC6"/>
    <w:rsid w:val="00D61002"/>
    <w:rsid w:val="00D62D27"/>
    <w:rsid w:val="00D62F97"/>
    <w:rsid w:val="00D64430"/>
    <w:rsid w:val="00D646CB"/>
    <w:rsid w:val="00D66E54"/>
    <w:rsid w:val="00D70580"/>
    <w:rsid w:val="00D705BB"/>
    <w:rsid w:val="00D711A6"/>
    <w:rsid w:val="00D7149A"/>
    <w:rsid w:val="00D719ED"/>
    <w:rsid w:val="00D72E5F"/>
    <w:rsid w:val="00D7335F"/>
    <w:rsid w:val="00D73C15"/>
    <w:rsid w:val="00D77E82"/>
    <w:rsid w:val="00D8009A"/>
    <w:rsid w:val="00D8019F"/>
    <w:rsid w:val="00D80825"/>
    <w:rsid w:val="00D8140A"/>
    <w:rsid w:val="00D81515"/>
    <w:rsid w:val="00D81786"/>
    <w:rsid w:val="00D819C6"/>
    <w:rsid w:val="00D81D5C"/>
    <w:rsid w:val="00D82392"/>
    <w:rsid w:val="00D82AB8"/>
    <w:rsid w:val="00D840A7"/>
    <w:rsid w:val="00D90C2C"/>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6F46"/>
    <w:rsid w:val="00DC71C7"/>
    <w:rsid w:val="00DC7C15"/>
    <w:rsid w:val="00DC7D13"/>
    <w:rsid w:val="00DD06C8"/>
    <w:rsid w:val="00DD2117"/>
    <w:rsid w:val="00DD478B"/>
    <w:rsid w:val="00DD53DD"/>
    <w:rsid w:val="00DD7096"/>
    <w:rsid w:val="00DD7861"/>
    <w:rsid w:val="00DE035C"/>
    <w:rsid w:val="00DE06C9"/>
    <w:rsid w:val="00DE08F4"/>
    <w:rsid w:val="00DE1D81"/>
    <w:rsid w:val="00DE2B01"/>
    <w:rsid w:val="00DE430E"/>
    <w:rsid w:val="00DE451C"/>
    <w:rsid w:val="00DE5B4C"/>
    <w:rsid w:val="00DE5DE6"/>
    <w:rsid w:val="00DF007A"/>
    <w:rsid w:val="00DF12D9"/>
    <w:rsid w:val="00DF153C"/>
    <w:rsid w:val="00DF1D88"/>
    <w:rsid w:val="00DF4051"/>
    <w:rsid w:val="00DF4EAE"/>
    <w:rsid w:val="00DF6841"/>
    <w:rsid w:val="00DF7707"/>
    <w:rsid w:val="00E00B8F"/>
    <w:rsid w:val="00E01D0C"/>
    <w:rsid w:val="00E02DAE"/>
    <w:rsid w:val="00E031AA"/>
    <w:rsid w:val="00E034C9"/>
    <w:rsid w:val="00E03BCC"/>
    <w:rsid w:val="00E04370"/>
    <w:rsid w:val="00E0441E"/>
    <w:rsid w:val="00E044EB"/>
    <w:rsid w:val="00E04DFA"/>
    <w:rsid w:val="00E06ABF"/>
    <w:rsid w:val="00E07E2B"/>
    <w:rsid w:val="00E10154"/>
    <w:rsid w:val="00E11912"/>
    <w:rsid w:val="00E11AFD"/>
    <w:rsid w:val="00E12B85"/>
    <w:rsid w:val="00E13CE0"/>
    <w:rsid w:val="00E14AB2"/>
    <w:rsid w:val="00E14EF0"/>
    <w:rsid w:val="00E156C7"/>
    <w:rsid w:val="00E1582D"/>
    <w:rsid w:val="00E1736C"/>
    <w:rsid w:val="00E201A5"/>
    <w:rsid w:val="00E2076B"/>
    <w:rsid w:val="00E20E87"/>
    <w:rsid w:val="00E21081"/>
    <w:rsid w:val="00E21FD5"/>
    <w:rsid w:val="00E24B44"/>
    <w:rsid w:val="00E2754C"/>
    <w:rsid w:val="00E2782A"/>
    <w:rsid w:val="00E31CB4"/>
    <w:rsid w:val="00E31CBD"/>
    <w:rsid w:val="00E338CF"/>
    <w:rsid w:val="00E33CB9"/>
    <w:rsid w:val="00E349E1"/>
    <w:rsid w:val="00E362DA"/>
    <w:rsid w:val="00E36FCE"/>
    <w:rsid w:val="00E4185D"/>
    <w:rsid w:val="00E424B7"/>
    <w:rsid w:val="00E4355F"/>
    <w:rsid w:val="00E43645"/>
    <w:rsid w:val="00E43D58"/>
    <w:rsid w:val="00E44DE7"/>
    <w:rsid w:val="00E46893"/>
    <w:rsid w:val="00E46B95"/>
    <w:rsid w:val="00E46E83"/>
    <w:rsid w:val="00E47668"/>
    <w:rsid w:val="00E50F00"/>
    <w:rsid w:val="00E52C77"/>
    <w:rsid w:val="00E5429B"/>
    <w:rsid w:val="00E5443A"/>
    <w:rsid w:val="00E55F60"/>
    <w:rsid w:val="00E56209"/>
    <w:rsid w:val="00E56544"/>
    <w:rsid w:val="00E57BCC"/>
    <w:rsid w:val="00E57C95"/>
    <w:rsid w:val="00E603F2"/>
    <w:rsid w:val="00E6066B"/>
    <w:rsid w:val="00E6106D"/>
    <w:rsid w:val="00E63364"/>
    <w:rsid w:val="00E63AE1"/>
    <w:rsid w:val="00E6480B"/>
    <w:rsid w:val="00E648B0"/>
    <w:rsid w:val="00E6630F"/>
    <w:rsid w:val="00E6776A"/>
    <w:rsid w:val="00E706C3"/>
    <w:rsid w:val="00E706E2"/>
    <w:rsid w:val="00E7070A"/>
    <w:rsid w:val="00E720AC"/>
    <w:rsid w:val="00E7437B"/>
    <w:rsid w:val="00E759BE"/>
    <w:rsid w:val="00E7601A"/>
    <w:rsid w:val="00E7692D"/>
    <w:rsid w:val="00E77401"/>
    <w:rsid w:val="00E81CBA"/>
    <w:rsid w:val="00E83CF2"/>
    <w:rsid w:val="00E86296"/>
    <w:rsid w:val="00E8678C"/>
    <w:rsid w:val="00E86ECE"/>
    <w:rsid w:val="00E9030E"/>
    <w:rsid w:val="00E90527"/>
    <w:rsid w:val="00E91AAA"/>
    <w:rsid w:val="00E93013"/>
    <w:rsid w:val="00E9360D"/>
    <w:rsid w:val="00E9405A"/>
    <w:rsid w:val="00E941D5"/>
    <w:rsid w:val="00E95ABB"/>
    <w:rsid w:val="00EA0000"/>
    <w:rsid w:val="00EA0197"/>
    <w:rsid w:val="00EA0214"/>
    <w:rsid w:val="00EA25FC"/>
    <w:rsid w:val="00EA28C3"/>
    <w:rsid w:val="00EA2ADB"/>
    <w:rsid w:val="00EA504D"/>
    <w:rsid w:val="00EA70B5"/>
    <w:rsid w:val="00EA7140"/>
    <w:rsid w:val="00EA785C"/>
    <w:rsid w:val="00EB01FB"/>
    <w:rsid w:val="00EB1776"/>
    <w:rsid w:val="00EB1BEE"/>
    <w:rsid w:val="00EB2B82"/>
    <w:rsid w:val="00EB5BFA"/>
    <w:rsid w:val="00EB6466"/>
    <w:rsid w:val="00EC05D9"/>
    <w:rsid w:val="00EC11EA"/>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267"/>
    <w:rsid w:val="00ED277A"/>
    <w:rsid w:val="00ED5D84"/>
    <w:rsid w:val="00EE01EE"/>
    <w:rsid w:val="00EE0E35"/>
    <w:rsid w:val="00EE2608"/>
    <w:rsid w:val="00EE5378"/>
    <w:rsid w:val="00EE6551"/>
    <w:rsid w:val="00EE6D25"/>
    <w:rsid w:val="00EE7867"/>
    <w:rsid w:val="00EE7BDC"/>
    <w:rsid w:val="00EF1AF6"/>
    <w:rsid w:val="00EF1D6C"/>
    <w:rsid w:val="00EF23FC"/>
    <w:rsid w:val="00EF293D"/>
    <w:rsid w:val="00EF310F"/>
    <w:rsid w:val="00EF43BB"/>
    <w:rsid w:val="00EF6E38"/>
    <w:rsid w:val="00EF7432"/>
    <w:rsid w:val="00F00FCB"/>
    <w:rsid w:val="00F01213"/>
    <w:rsid w:val="00F01DF4"/>
    <w:rsid w:val="00F058B2"/>
    <w:rsid w:val="00F05B5B"/>
    <w:rsid w:val="00F10506"/>
    <w:rsid w:val="00F10B53"/>
    <w:rsid w:val="00F1313A"/>
    <w:rsid w:val="00F138A0"/>
    <w:rsid w:val="00F143A5"/>
    <w:rsid w:val="00F14BC0"/>
    <w:rsid w:val="00F15F3D"/>
    <w:rsid w:val="00F16A9A"/>
    <w:rsid w:val="00F20731"/>
    <w:rsid w:val="00F20795"/>
    <w:rsid w:val="00F2094B"/>
    <w:rsid w:val="00F2116C"/>
    <w:rsid w:val="00F2180C"/>
    <w:rsid w:val="00F22470"/>
    <w:rsid w:val="00F23066"/>
    <w:rsid w:val="00F23082"/>
    <w:rsid w:val="00F230A1"/>
    <w:rsid w:val="00F23E6F"/>
    <w:rsid w:val="00F24ABE"/>
    <w:rsid w:val="00F2528B"/>
    <w:rsid w:val="00F25556"/>
    <w:rsid w:val="00F25984"/>
    <w:rsid w:val="00F26A2D"/>
    <w:rsid w:val="00F2718A"/>
    <w:rsid w:val="00F30303"/>
    <w:rsid w:val="00F317D8"/>
    <w:rsid w:val="00F321CF"/>
    <w:rsid w:val="00F3280D"/>
    <w:rsid w:val="00F32BA1"/>
    <w:rsid w:val="00F33510"/>
    <w:rsid w:val="00F34E37"/>
    <w:rsid w:val="00F35D67"/>
    <w:rsid w:val="00F361E9"/>
    <w:rsid w:val="00F362BD"/>
    <w:rsid w:val="00F37D7A"/>
    <w:rsid w:val="00F4208A"/>
    <w:rsid w:val="00F44CA9"/>
    <w:rsid w:val="00F451C5"/>
    <w:rsid w:val="00F4587E"/>
    <w:rsid w:val="00F460DE"/>
    <w:rsid w:val="00F518EF"/>
    <w:rsid w:val="00F519E1"/>
    <w:rsid w:val="00F51AE5"/>
    <w:rsid w:val="00F534CE"/>
    <w:rsid w:val="00F545EC"/>
    <w:rsid w:val="00F57187"/>
    <w:rsid w:val="00F6317B"/>
    <w:rsid w:val="00F63457"/>
    <w:rsid w:val="00F636DA"/>
    <w:rsid w:val="00F6379B"/>
    <w:rsid w:val="00F64EFC"/>
    <w:rsid w:val="00F653D5"/>
    <w:rsid w:val="00F65C8F"/>
    <w:rsid w:val="00F66133"/>
    <w:rsid w:val="00F67945"/>
    <w:rsid w:val="00F71DD5"/>
    <w:rsid w:val="00F7213D"/>
    <w:rsid w:val="00F72DB2"/>
    <w:rsid w:val="00F72EF7"/>
    <w:rsid w:val="00F732AA"/>
    <w:rsid w:val="00F736FF"/>
    <w:rsid w:val="00F73E10"/>
    <w:rsid w:val="00F753E2"/>
    <w:rsid w:val="00F75607"/>
    <w:rsid w:val="00F765FD"/>
    <w:rsid w:val="00F76B7F"/>
    <w:rsid w:val="00F778BE"/>
    <w:rsid w:val="00F77C22"/>
    <w:rsid w:val="00F80843"/>
    <w:rsid w:val="00F81021"/>
    <w:rsid w:val="00F81058"/>
    <w:rsid w:val="00F81C4B"/>
    <w:rsid w:val="00F83EF6"/>
    <w:rsid w:val="00F840DB"/>
    <w:rsid w:val="00F867B0"/>
    <w:rsid w:val="00F86E1D"/>
    <w:rsid w:val="00F870DB"/>
    <w:rsid w:val="00F92A27"/>
    <w:rsid w:val="00F94907"/>
    <w:rsid w:val="00F94B4B"/>
    <w:rsid w:val="00F971C5"/>
    <w:rsid w:val="00F97DD1"/>
    <w:rsid w:val="00FA0264"/>
    <w:rsid w:val="00FA12AA"/>
    <w:rsid w:val="00FA1658"/>
    <w:rsid w:val="00FA29DD"/>
    <w:rsid w:val="00FA3C80"/>
    <w:rsid w:val="00FA50BF"/>
    <w:rsid w:val="00FA54C0"/>
    <w:rsid w:val="00FA58C8"/>
    <w:rsid w:val="00FB00B2"/>
    <w:rsid w:val="00FB0C69"/>
    <w:rsid w:val="00FB0D77"/>
    <w:rsid w:val="00FB638A"/>
    <w:rsid w:val="00FB67CF"/>
    <w:rsid w:val="00FB70D3"/>
    <w:rsid w:val="00FC0DCE"/>
    <w:rsid w:val="00FC3420"/>
    <w:rsid w:val="00FC55A5"/>
    <w:rsid w:val="00FC6739"/>
    <w:rsid w:val="00FC726D"/>
    <w:rsid w:val="00FC7976"/>
    <w:rsid w:val="00FD03AE"/>
    <w:rsid w:val="00FD0EA7"/>
    <w:rsid w:val="00FD199E"/>
    <w:rsid w:val="00FD1A00"/>
    <w:rsid w:val="00FD1C16"/>
    <w:rsid w:val="00FD2507"/>
    <w:rsid w:val="00FD3129"/>
    <w:rsid w:val="00FD416B"/>
    <w:rsid w:val="00FD4819"/>
    <w:rsid w:val="00FD50A4"/>
    <w:rsid w:val="00FD73B2"/>
    <w:rsid w:val="00FD79A0"/>
    <w:rsid w:val="00FE056B"/>
    <w:rsid w:val="00FE0A23"/>
    <w:rsid w:val="00FE139D"/>
    <w:rsid w:val="00FE33E1"/>
    <w:rsid w:val="00FE35B7"/>
    <w:rsid w:val="00FE36E3"/>
    <w:rsid w:val="00FE3E51"/>
    <w:rsid w:val="00FE4304"/>
    <w:rsid w:val="00FE5DB9"/>
    <w:rsid w:val="00FE710E"/>
    <w:rsid w:val="00FF0AE0"/>
    <w:rsid w:val="00FF2332"/>
    <w:rsid w:val="00FF2C16"/>
    <w:rsid w:val="00FF33AC"/>
    <w:rsid w:val="00FF3C8E"/>
    <w:rsid w:val="01BF5575"/>
    <w:rsid w:val="021B26A5"/>
    <w:rsid w:val="02AB3C57"/>
    <w:rsid w:val="03C47EE9"/>
    <w:rsid w:val="06495F3C"/>
    <w:rsid w:val="06796691"/>
    <w:rsid w:val="06D25734"/>
    <w:rsid w:val="0800653B"/>
    <w:rsid w:val="085C1E95"/>
    <w:rsid w:val="0AFC0A6D"/>
    <w:rsid w:val="0BCA0029"/>
    <w:rsid w:val="0C4F3999"/>
    <w:rsid w:val="0CE62E7F"/>
    <w:rsid w:val="0D315E36"/>
    <w:rsid w:val="0E360AD7"/>
    <w:rsid w:val="0E5F50F8"/>
    <w:rsid w:val="0EFE7657"/>
    <w:rsid w:val="0F8472A0"/>
    <w:rsid w:val="0FAE62CC"/>
    <w:rsid w:val="0FC1070A"/>
    <w:rsid w:val="108130E6"/>
    <w:rsid w:val="11305133"/>
    <w:rsid w:val="12237663"/>
    <w:rsid w:val="130F5C30"/>
    <w:rsid w:val="132337FC"/>
    <w:rsid w:val="13975E9B"/>
    <w:rsid w:val="13B238FC"/>
    <w:rsid w:val="14DD765C"/>
    <w:rsid w:val="162163A6"/>
    <w:rsid w:val="17026AA5"/>
    <w:rsid w:val="17961EE3"/>
    <w:rsid w:val="1862133D"/>
    <w:rsid w:val="188B440E"/>
    <w:rsid w:val="18B84674"/>
    <w:rsid w:val="19F71C34"/>
    <w:rsid w:val="1AC843C6"/>
    <w:rsid w:val="1ADC379F"/>
    <w:rsid w:val="1B4D379A"/>
    <w:rsid w:val="1BFB77F0"/>
    <w:rsid w:val="1CF539DC"/>
    <w:rsid w:val="1D914188"/>
    <w:rsid w:val="207B6F8B"/>
    <w:rsid w:val="20D133BA"/>
    <w:rsid w:val="20F03071"/>
    <w:rsid w:val="21664083"/>
    <w:rsid w:val="219624CF"/>
    <w:rsid w:val="22B12860"/>
    <w:rsid w:val="22F92434"/>
    <w:rsid w:val="23AD5777"/>
    <w:rsid w:val="25473008"/>
    <w:rsid w:val="25641649"/>
    <w:rsid w:val="271E1E6D"/>
    <w:rsid w:val="284063F2"/>
    <w:rsid w:val="2A525139"/>
    <w:rsid w:val="2AF11B54"/>
    <w:rsid w:val="2D9427EF"/>
    <w:rsid w:val="2EBC2A64"/>
    <w:rsid w:val="2F021021"/>
    <w:rsid w:val="2FE42CBA"/>
    <w:rsid w:val="31F86B6D"/>
    <w:rsid w:val="330F0360"/>
    <w:rsid w:val="349E098D"/>
    <w:rsid w:val="3504136C"/>
    <w:rsid w:val="366D2511"/>
    <w:rsid w:val="3695763B"/>
    <w:rsid w:val="36A856CC"/>
    <w:rsid w:val="39355A88"/>
    <w:rsid w:val="394A38E5"/>
    <w:rsid w:val="3A322310"/>
    <w:rsid w:val="3A9A690E"/>
    <w:rsid w:val="3B530AC0"/>
    <w:rsid w:val="3C0C4260"/>
    <w:rsid w:val="3C122D77"/>
    <w:rsid w:val="3C1A6848"/>
    <w:rsid w:val="3C753147"/>
    <w:rsid w:val="3DA15936"/>
    <w:rsid w:val="40AA69EC"/>
    <w:rsid w:val="41674DD9"/>
    <w:rsid w:val="418E002B"/>
    <w:rsid w:val="43206F5D"/>
    <w:rsid w:val="438D5A63"/>
    <w:rsid w:val="43E0001B"/>
    <w:rsid w:val="44DC4A59"/>
    <w:rsid w:val="45216D1E"/>
    <w:rsid w:val="45F335B4"/>
    <w:rsid w:val="464C4280"/>
    <w:rsid w:val="473D3E13"/>
    <w:rsid w:val="47413903"/>
    <w:rsid w:val="49B53654"/>
    <w:rsid w:val="4BD74836"/>
    <w:rsid w:val="4C6F1CCC"/>
    <w:rsid w:val="4CB93F3C"/>
    <w:rsid w:val="4F1A79B6"/>
    <w:rsid w:val="4FA2515B"/>
    <w:rsid w:val="51453B34"/>
    <w:rsid w:val="515B3813"/>
    <w:rsid w:val="51C43DA1"/>
    <w:rsid w:val="51E611C2"/>
    <w:rsid w:val="52680BC7"/>
    <w:rsid w:val="52AD009F"/>
    <w:rsid w:val="53194E54"/>
    <w:rsid w:val="53BE2B06"/>
    <w:rsid w:val="53CF7191"/>
    <w:rsid w:val="5556796E"/>
    <w:rsid w:val="55A97140"/>
    <w:rsid w:val="5772586A"/>
    <w:rsid w:val="591C6A07"/>
    <w:rsid w:val="5A215082"/>
    <w:rsid w:val="5F2E4748"/>
    <w:rsid w:val="5F532C55"/>
    <w:rsid w:val="5F8C1E86"/>
    <w:rsid w:val="5FD30F2A"/>
    <w:rsid w:val="60B7403D"/>
    <w:rsid w:val="60C30241"/>
    <w:rsid w:val="6128597C"/>
    <w:rsid w:val="634A36E8"/>
    <w:rsid w:val="635A44D0"/>
    <w:rsid w:val="649C14B8"/>
    <w:rsid w:val="65E305BF"/>
    <w:rsid w:val="65FD1513"/>
    <w:rsid w:val="669748D6"/>
    <w:rsid w:val="679D0C7A"/>
    <w:rsid w:val="68B3290D"/>
    <w:rsid w:val="68C06D7B"/>
    <w:rsid w:val="69DD7064"/>
    <w:rsid w:val="6B601DEA"/>
    <w:rsid w:val="6B736BF0"/>
    <w:rsid w:val="6C47042F"/>
    <w:rsid w:val="6C4D0E55"/>
    <w:rsid w:val="6DCC4687"/>
    <w:rsid w:val="6E375C7F"/>
    <w:rsid w:val="6E871899"/>
    <w:rsid w:val="704113DB"/>
    <w:rsid w:val="71985672"/>
    <w:rsid w:val="722927E5"/>
    <w:rsid w:val="76522B87"/>
    <w:rsid w:val="77297D8C"/>
    <w:rsid w:val="78D51C4A"/>
    <w:rsid w:val="78F3268E"/>
    <w:rsid w:val="7A5939C2"/>
    <w:rsid w:val="7AB40A97"/>
    <w:rsid w:val="7B02571C"/>
    <w:rsid w:val="7BFB1CF7"/>
    <w:rsid w:val="7D875F78"/>
    <w:rsid w:val="7D8E7F71"/>
    <w:rsid w:val="7E813BB6"/>
    <w:rsid w:val="7EF93915"/>
    <w:rsid w:val="7F316A0A"/>
    <w:rsid w:val="7F791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toc 3"/>
    <w:basedOn w:val="1"/>
    <w:next w:val="1"/>
    <w:autoRedefine/>
    <w:semiHidden/>
    <w:unhideWhenUsed/>
    <w:qFormat/>
    <w:uiPriority w:val="39"/>
    <w:pPr>
      <w:ind w:left="840" w:leftChars="400"/>
    </w:pPr>
  </w:style>
  <w:style w:type="paragraph" w:styleId="4">
    <w:name w:val="Date"/>
    <w:basedOn w:val="1"/>
    <w:next w:val="1"/>
    <w:link w:val="14"/>
    <w:autoRedefine/>
    <w:semiHidden/>
    <w:unhideWhenUsed/>
    <w:qFormat/>
    <w:uiPriority w:val="99"/>
    <w:pPr>
      <w:ind w:left="100" w:leftChars="2500"/>
    </w:pPr>
  </w:style>
  <w:style w:type="paragraph" w:styleId="5">
    <w:name w:val="Balloon Text"/>
    <w:basedOn w:val="1"/>
    <w:link w:val="18"/>
    <w:autoRedefine/>
    <w:semiHidden/>
    <w:unhideWhenUsed/>
    <w:qFormat/>
    <w:uiPriority w:val="99"/>
    <w:rPr>
      <w:sz w:val="18"/>
      <w:szCs w:val="18"/>
    </w:rPr>
  </w:style>
  <w:style w:type="paragraph" w:styleId="6">
    <w:name w:val="footer"/>
    <w:basedOn w:val="1"/>
    <w:link w:val="17"/>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semiHidden/>
    <w:unhideWhenUsed/>
    <w:qFormat/>
    <w:uiPriority w:val="39"/>
  </w:style>
  <w:style w:type="paragraph" w:styleId="9">
    <w:name w:val="toc 2"/>
    <w:basedOn w:val="1"/>
    <w:next w:val="1"/>
    <w:autoRedefine/>
    <w:semiHidden/>
    <w:unhideWhenUsed/>
    <w:qFormat/>
    <w:uiPriority w:val="39"/>
    <w:pPr>
      <w:ind w:left="420" w:leftChars="200"/>
    </w:p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semiHidden/>
    <w:unhideWhenUsed/>
    <w:qFormat/>
    <w:uiPriority w:val="99"/>
    <w:rPr>
      <w:sz w:val="21"/>
      <w:szCs w:val="21"/>
    </w:rPr>
  </w:style>
  <w:style w:type="character" w:customStyle="1" w:styleId="14">
    <w:name w:val="日期 Char"/>
    <w:basedOn w:val="12"/>
    <w:link w:val="4"/>
    <w:autoRedefine/>
    <w:semiHidden/>
    <w:qFormat/>
    <w:uiPriority w:val="99"/>
  </w:style>
  <w:style w:type="paragraph" w:styleId="15">
    <w:name w:val="List Paragraph"/>
    <w:basedOn w:val="1"/>
    <w:autoRedefine/>
    <w:qFormat/>
    <w:uiPriority w:val="99"/>
    <w:pPr>
      <w:ind w:firstLine="420" w:firstLineChars="200"/>
    </w:pPr>
  </w:style>
  <w:style w:type="character" w:customStyle="1" w:styleId="16">
    <w:name w:val="页眉 Char"/>
    <w:basedOn w:val="12"/>
    <w:link w:val="7"/>
    <w:autoRedefine/>
    <w:qFormat/>
    <w:uiPriority w:val="99"/>
    <w:rPr>
      <w:sz w:val="18"/>
      <w:szCs w:val="18"/>
    </w:rPr>
  </w:style>
  <w:style w:type="character" w:customStyle="1" w:styleId="17">
    <w:name w:val="页脚 Char"/>
    <w:basedOn w:val="12"/>
    <w:link w:val="6"/>
    <w:autoRedefine/>
    <w:semiHidden/>
    <w:qFormat/>
    <w:uiPriority w:val="99"/>
    <w:rPr>
      <w:sz w:val="18"/>
      <w:szCs w:val="18"/>
    </w:rPr>
  </w:style>
  <w:style w:type="character" w:customStyle="1" w:styleId="18">
    <w:name w:val="批注框文本 Char"/>
    <w:basedOn w:val="12"/>
    <w:link w:val="5"/>
    <w:autoRedefine/>
    <w:semiHidden/>
    <w:qFormat/>
    <w:uiPriority w:val="99"/>
    <w:rPr>
      <w:sz w:val="18"/>
      <w:szCs w:val="18"/>
    </w:rPr>
  </w:style>
  <w:style w:type="paragraph" w:customStyle="1" w:styleId="19">
    <w:name w:val="WPSOffice手动目录 1"/>
    <w:autoRedefine/>
    <w:qFormat/>
    <w:uiPriority w:val="0"/>
    <w:pPr>
      <w:ind w:leftChars="0"/>
    </w:pPr>
    <w:rPr>
      <w:rFonts w:ascii="Times New Roman" w:hAnsi="Times New Roman" w:eastAsia="宋体" w:cs="Times New Roman"/>
      <w:sz w:val="20"/>
      <w:szCs w:val="20"/>
    </w:rPr>
  </w:style>
  <w:style w:type="paragraph" w:customStyle="1" w:styleId="20">
    <w:name w:val="WPSOffice手动目录 2"/>
    <w:autoRedefine/>
    <w:qFormat/>
    <w:uiPriority w:val="0"/>
    <w:pPr>
      <w:ind w:leftChars="200"/>
    </w:pPr>
    <w:rPr>
      <w:rFonts w:ascii="Times New Roman" w:hAnsi="Times New Roman" w:eastAsia="宋体" w:cs="Times New Roman"/>
      <w:sz w:val="20"/>
      <w:szCs w:val="20"/>
    </w:rPr>
  </w:style>
  <w:style w:type="paragraph" w:customStyle="1" w:styleId="21">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5A95D0-E787-4169-A843-648CC4D3288C}">
  <ds:schemaRefs/>
</ds:datastoreItem>
</file>

<file path=docProps/app.xml><?xml version="1.0" encoding="utf-8"?>
<Properties xmlns="http://schemas.openxmlformats.org/officeDocument/2006/extended-properties" xmlns:vt="http://schemas.openxmlformats.org/officeDocument/2006/docPropsVTypes">
  <Template>Normal</Template>
  <Pages>25</Pages>
  <Words>1647</Words>
  <Characters>9389</Characters>
  <Lines>78</Lines>
  <Paragraphs>22</Paragraphs>
  <TotalTime>253</TotalTime>
  <ScaleCrop>false</ScaleCrop>
  <LinksUpToDate>false</LinksUpToDate>
  <CharactersWithSpaces>11014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2023-01-10T01:15:00Z</dcterms:created>
  <dc:creator>Administrator</dc:creator>
  <cp:lastModifiedBy>Mango</cp:lastModifiedBy>
  <cp:lastPrinted>2023-09-11T07:36:00Z</cp:lastPrinted>
  <dcterms:modified xsi:type="dcterms:W3CDTF">2024-04-22T02:23:57Z</dcterms:modified>
  <cp:revision>290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B5293C29266A4667963252A8FFF666FD_13</vt:lpwstr>
  </property>
</Properties>
</file>