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pPr>
      <w:bookmarkStart w:id="0" w:name="_Toc24997"/>
      <w:bookmarkStart w:id="1" w:name="_Hlk121234224"/>
      <w:bookmarkStart w:id="2" w:name="_Toc19495"/>
      <w:bookmarkStart w:id="3" w:name="_Toc19367"/>
      <w:bookmarkStart w:id="4" w:name="_Toc10487"/>
    </w:p>
    <w:p>
      <w:pPr>
        <w:bidi w:val="0"/>
      </w:pPr>
    </w:p>
    <w:p>
      <w:pPr>
        <w:bidi w:val="0"/>
      </w:pPr>
    </w:p>
    <w:p>
      <w:pPr>
        <w:bidi w:val="0"/>
      </w:pPr>
    </w:p>
    <w:p>
      <w:pPr>
        <w:bidi w:val="0"/>
      </w:pPr>
    </w:p>
    <w:p>
      <w:pPr>
        <w:bidi w:val="0"/>
      </w:pPr>
    </w:p>
    <w:p>
      <w:pPr>
        <w:bidi w:val="0"/>
      </w:pPr>
    </w:p>
    <w:p>
      <w:pPr>
        <w:bidi w:val="0"/>
      </w:pPr>
    </w:p>
    <w:p>
      <w:pPr>
        <w:keepNext w:val="0"/>
        <w:keepLines w:val="0"/>
        <w:widowControl w:val="0"/>
        <w:numPr>
          <w:ilvl w:val="0"/>
          <w:numId w:val="0"/>
        </w:numPr>
        <w:suppressLineNumbers w:val="0"/>
        <w:tabs>
          <w:tab w:val="left" w:pos="6300"/>
        </w:tabs>
        <w:spacing w:before="0" w:beforeAutospacing="0" w:after="0" w:afterAutospacing="0"/>
        <w:ind w:leftChars="0" w:right="0" w:rightChars="0"/>
        <w:jc w:val="center"/>
        <w:outlineLvl w:val="0"/>
        <w:rPr>
          <w:rFonts w:hint="eastAsia" w:ascii="方正小标宋简体" w:hAnsi="仿宋" w:eastAsia="方正小标宋简体" w:cs="宋体"/>
          <w:b/>
          <w:bCs w:val="0"/>
          <w:kern w:val="2"/>
          <w:sz w:val="44"/>
          <w:szCs w:val="44"/>
          <w:lang w:val="en-US" w:eastAsia="zh-CN" w:bidi="ar"/>
        </w:rPr>
      </w:pPr>
      <w:bookmarkStart w:id="5" w:name="_Toc28516"/>
      <w:bookmarkStart w:id="6" w:name="_Toc21318"/>
      <w:bookmarkStart w:id="7" w:name="_Toc4839"/>
      <w:bookmarkStart w:id="8" w:name="_Toc13332"/>
      <w:r>
        <w:rPr>
          <w:rFonts w:hint="eastAsia" w:ascii="方正小标宋简体" w:hAnsi="仿宋" w:eastAsia="方正小标宋简体" w:cs="宋体"/>
          <w:b/>
          <w:bCs w:val="0"/>
          <w:kern w:val="2"/>
          <w:sz w:val="44"/>
          <w:szCs w:val="44"/>
          <w:lang w:val="en-US" w:eastAsia="zh-CN" w:bidi="ar"/>
        </w:rPr>
        <w:t>2022年度</w:t>
      </w:r>
      <w:bookmarkStart w:id="9" w:name="_Hlk121495020"/>
      <w:r>
        <w:rPr>
          <w:rFonts w:hint="eastAsia" w:ascii="方正小标宋简体" w:hAnsi="仿宋" w:eastAsia="方正小标宋简体" w:cs="宋体"/>
          <w:b/>
          <w:bCs w:val="0"/>
          <w:kern w:val="2"/>
          <w:sz w:val="44"/>
          <w:szCs w:val="44"/>
          <w:lang w:val="en-US" w:eastAsia="zh-CN" w:bidi="ar"/>
        </w:rPr>
        <w:t>赣州蓉江新区惠民医院</w:t>
      </w:r>
      <w:bookmarkStart w:id="10" w:name="_Toc18153"/>
      <w:bookmarkStart w:id="11" w:name="_Toc9368"/>
      <w:bookmarkStart w:id="12" w:name="_Toc29692"/>
      <w:bookmarkStart w:id="13" w:name="_Toc5630"/>
      <w:r>
        <w:rPr>
          <w:rFonts w:hint="eastAsia" w:ascii="方正小标宋简体" w:hAnsi="仿宋" w:eastAsia="方正小标宋简体" w:cs="宋体"/>
          <w:b/>
          <w:bCs w:val="0"/>
          <w:kern w:val="2"/>
          <w:sz w:val="44"/>
          <w:szCs w:val="44"/>
          <w:lang w:val="en-US" w:eastAsia="zh-CN" w:bidi="ar"/>
        </w:rPr>
        <w:t>建设工程项目</w:t>
      </w:r>
      <w:bookmarkEnd w:id="0"/>
      <w:bookmarkEnd w:id="1"/>
      <w:bookmarkEnd w:id="2"/>
      <w:bookmarkEnd w:id="3"/>
      <w:bookmarkEnd w:id="4"/>
      <w:bookmarkEnd w:id="5"/>
      <w:bookmarkEnd w:id="6"/>
      <w:bookmarkEnd w:id="7"/>
      <w:bookmarkEnd w:id="8"/>
      <w:bookmarkEnd w:id="9"/>
      <w:bookmarkEnd w:id="10"/>
      <w:bookmarkEnd w:id="11"/>
      <w:bookmarkEnd w:id="12"/>
      <w:bookmarkEnd w:id="13"/>
      <w:bookmarkStart w:id="14" w:name="_Toc10476"/>
      <w:bookmarkStart w:id="15" w:name="_Toc18530"/>
      <w:bookmarkStart w:id="16" w:name="_Toc27191"/>
      <w:bookmarkStart w:id="17" w:name="_Toc31488"/>
      <w:r>
        <w:rPr>
          <w:rFonts w:hint="eastAsia" w:ascii="方正小标宋简体" w:hAnsi="仿宋" w:eastAsia="方正小标宋简体" w:cs="宋体"/>
          <w:b/>
          <w:bCs w:val="0"/>
          <w:kern w:val="2"/>
          <w:sz w:val="44"/>
          <w:szCs w:val="44"/>
          <w:lang w:val="en-US" w:eastAsia="zh-CN" w:bidi="ar"/>
        </w:rPr>
        <w:t>支出绩效评价报告</w:t>
      </w:r>
      <w:bookmarkEnd w:id="14"/>
      <w:bookmarkEnd w:id="15"/>
      <w:bookmarkEnd w:id="16"/>
      <w:bookmarkEnd w:id="17"/>
    </w:p>
    <w:p>
      <w:pPr>
        <w:spacing w:line="480" w:lineRule="auto"/>
        <w:jc w:val="center"/>
      </w:pPr>
      <w:r>
        <w:rPr>
          <w:rFonts w:hint="eastAsia" w:ascii="仿宋_GB2312" w:hAnsi="Times New Roman" w:eastAsia="仿宋_GB2312" w:cs="Times New Roman"/>
          <w:kern w:val="2"/>
          <w:sz w:val="32"/>
          <w:szCs w:val="32"/>
          <w:lang w:val="en-US" w:eastAsia="zh-CN" w:bidi="ar-SA"/>
        </w:rPr>
        <w:t>国众联咨报字﹝2024﹞第</w:t>
      </w:r>
      <w:r>
        <w:rPr>
          <w:rFonts w:hint="eastAsia" w:ascii="仿宋_GB2312" w:hAnsi="Times New Roman" w:eastAsia="仿宋_GB2312" w:cs="Times New Roman"/>
          <w:kern w:val="2"/>
          <w:sz w:val="32"/>
          <w:szCs w:val="32"/>
          <w:highlight w:val="none"/>
          <w:lang w:val="en-US" w:eastAsia="zh-CN" w:bidi="ar-SA"/>
        </w:rPr>
        <w:t>5-0036</w:t>
      </w:r>
      <w:r>
        <w:rPr>
          <w:rFonts w:hint="eastAsia" w:ascii="仿宋_GB2312" w:hAnsi="Times New Roman" w:eastAsia="仿宋_GB2312" w:cs="Times New Roman"/>
          <w:kern w:val="2"/>
          <w:sz w:val="32"/>
          <w:szCs w:val="32"/>
          <w:lang w:val="en-US" w:eastAsia="zh-CN" w:bidi="ar-SA"/>
        </w:rPr>
        <w:t>号</w:t>
      </w:r>
    </w:p>
    <w:p>
      <w:pPr>
        <w:spacing w:line="220" w:lineRule="atLeast"/>
        <w:ind w:right="-460" w:rightChars="-219"/>
        <w:jc w:val="center"/>
        <w:rPr>
          <w:rFonts w:ascii="Times New Roman" w:hAnsi="Times New Roman" w:eastAsia="黑体" w:cs="Times New Roman"/>
          <w:sz w:val="44"/>
          <w:szCs w:val="44"/>
        </w:rPr>
      </w:pPr>
    </w:p>
    <w:p>
      <w:pPr>
        <w:spacing w:line="220" w:lineRule="atLeast"/>
        <w:rPr>
          <w:rFonts w:ascii="Times New Roman" w:hAnsi="Times New Roman" w:eastAsia="黑体" w:cs="Times New Roman"/>
          <w:sz w:val="44"/>
          <w:szCs w:val="44"/>
        </w:rPr>
      </w:pPr>
    </w:p>
    <w:p>
      <w:pPr>
        <w:spacing w:line="220" w:lineRule="atLeast"/>
        <w:rPr>
          <w:rFonts w:ascii="Times New Roman" w:hAnsi="Times New Roman" w:eastAsia="黑体" w:cs="Times New Roman"/>
          <w:sz w:val="44"/>
          <w:szCs w:val="44"/>
        </w:rPr>
      </w:pPr>
    </w:p>
    <w:p>
      <w:pPr>
        <w:spacing w:line="220" w:lineRule="atLeast"/>
        <w:rPr>
          <w:rFonts w:ascii="Times New Roman" w:hAnsi="Times New Roman" w:eastAsia="黑体" w:cs="Times New Roman"/>
          <w:sz w:val="44"/>
          <w:szCs w:val="44"/>
        </w:rPr>
      </w:pPr>
    </w:p>
    <w:p>
      <w:pPr>
        <w:spacing w:line="220" w:lineRule="atLeast"/>
        <w:rPr>
          <w:rFonts w:ascii="Times New Roman" w:hAnsi="Times New Roman" w:eastAsia="黑体" w:cs="Times New Roman"/>
          <w:sz w:val="44"/>
          <w:szCs w:val="44"/>
        </w:rPr>
      </w:pPr>
    </w:p>
    <w:p>
      <w:pPr>
        <w:spacing w:line="220" w:lineRule="atLeast"/>
        <w:rPr>
          <w:rFonts w:ascii="Times New Roman" w:hAnsi="Times New Roman" w:eastAsia="黑体" w:cs="Times New Roman"/>
          <w:sz w:val="28"/>
          <w:szCs w:val="28"/>
        </w:rPr>
      </w:pPr>
    </w:p>
    <w:p>
      <w:pPr>
        <w:bidi w:val="0"/>
      </w:pPr>
    </w:p>
    <w:p>
      <w:pPr>
        <w:keepNext w:val="0"/>
        <w:keepLines w:val="0"/>
        <w:pageBreakBefore w:val="0"/>
        <w:widowControl w:val="0"/>
        <w:kinsoku/>
        <w:wordWrap/>
        <w:overflowPunct/>
        <w:topLinePunct w:val="0"/>
        <w:autoSpaceDE/>
        <w:autoSpaceDN/>
        <w:bidi w:val="0"/>
        <w:adjustRightInd/>
        <w:snapToGrid/>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项目名称：2022年度赣州蓉江新区惠民医院建设工程项目</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项目单位：赣州蓉江新区社会事务管理局</w:t>
      </w:r>
    </w:p>
    <w:p>
      <w:pPr>
        <w:keepNext w:val="0"/>
        <w:keepLines w:val="0"/>
        <w:pageBreakBefore w:val="0"/>
        <w:widowControl w:val="0"/>
        <w:kinsoku/>
        <w:wordWrap/>
        <w:overflowPunct/>
        <w:topLinePunct w:val="0"/>
        <w:autoSpaceDE/>
        <w:autoSpaceDN/>
        <w:bidi w:val="0"/>
        <w:adjustRightInd/>
        <w:snapToGrid/>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委托单位：赣州蓉江新区财政局</w:t>
      </w:r>
    </w:p>
    <w:p>
      <w:pPr>
        <w:keepNext w:val="0"/>
        <w:keepLines w:val="0"/>
        <w:pageBreakBefore w:val="0"/>
        <w:widowControl w:val="0"/>
        <w:kinsoku/>
        <w:wordWrap/>
        <w:overflowPunct/>
        <w:topLinePunct w:val="0"/>
        <w:autoSpaceDE/>
        <w:autoSpaceDN/>
        <w:bidi w:val="0"/>
        <w:adjustRightInd/>
        <w:snapToGrid/>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评价机构：国众联资产评估土地房地产估价有限公司</w:t>
      </w:r>
    </w:p>
    <w:p>
      <w:pPr>
        <w:keepNext w:val="0"/>
        <w:keepLines w:val="0"/>
        <w:pageBreakBefore w:val="0"/>
        <w:widowControl w:val="0"/>
        <w:kinsoku/>
        <w:wordWrap/>
        <w:overflowPunct/>
        <w:topLinePunct w:val="0"/>
        <w:autoSpaceDE/>
        <w:autoSpaceDN/>
        <w:bidi w:val="0"/>
        <w:adjustRightInd/>
        <w:snapToGrid/>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报告日期：二零二三年十二月</w:t>
      </w:r>
    </w:p>
    <w:p>
      <w:r>
        <w:br w:type="page"/>
      </w:r>
    </w:p>
    <w:sdt>
      <w:sdtPr>
        <w:rPr>
          <w:rFonts w:ascii="宋体" w:hAnsi="宋体" w:eastAsia="宋体"/>
          <w:sz w:val="28"/>
          <w:szCs w:val="28"/>
        </w:rPr>
        <w:id w:val="147451776"/>
        <w:docPartObj>
          <w:docPartGallery w:val="Table of Contents"/>
          <w:docPartUnique/>
        </w:docPartObj>
      </w:sdtPr>
      <w:sdtEndPr>
        <w:rPr>
          <w:rFonts w:hint="eastAsia" w:asciiTheme="minorEastAsia" w:hAnsiTheme="minorEastAsia" w:eastAsiaTheme="minorEastAsia"/>
          <w:b/>
          <w:bCs/>
          <w:sz w:val="28"/>
          <w:szCs w:val="28"/>
        </w:rPr>
      </w:sdtEndPr>
      <w:sdtContent>
        <w:p>
          <w:pPr>
            <w:pStyle w:val="8"/>
            <w:ind w:firstLine="0"/>
            <w:jc w:val="center"/>
          </w:pPr>
          <w:r>
            <w:rPr>
              <w:rFonts w:asciiTheme="minorEastAsia" w:hAnsiTheme="minorEastAsia"/>
            </w:rPr>
            <w:t>目录</w:t>
          </w:r>
          <w:r>
            <w:rPr>
              <w:rFonts w:hint="eastAsia" w:asciiTheme="minorEastAsia" w:hAnsiTheme="minorEastAsia" w:eastAsiaTheme="minorEastAsia"/>
              <w:b/>
              <w:bCs/>
            </w:rPr>
            <w:fldChar w:fldCharType="begin"/>
          </w:r>
          <w:r>
            <w:rPr>
              <w:rFonts w:hint="eastAsia" w:asciiTheme="minorEastAsia" w:hAnsiTheme="minorEastAsia" w:eastAsiaTheme="minorEastAsia"/>
              <w:b/>
              <w:bCs/>
            </w:rPr>
            <w:instrText xml:space="preserve">TOC \o "1-2" \h \u </w:instrText>
          </w:r>
          <w:r>
            <w:rPr>
              <w:rFonts w:hint="eastAsia" w:asciiTheme="minorEastAsia" w:hAnsiTheme="minorEastAsia" w:eastAsiaTheme="minorEastAsia"/>
              <w:b/>
              <w:bCs/>
            </w:rPr>
            <w:fldChar w:fldCharType="separate"/>
          </w:r>
        </w:p>
        <w:p>
          <w:pPr>
            <w:pStyle w:val="14"/>
            <w:tabs>
              <w:tab w:val="right" w:leader="dot" w:pos="8470"/>
            </w:tabs>
          </w:pPr>
          <w:r>
            <w:rPr>
              <w:rFonts w:hint="eastAsia" w:asciiTheme="minorEastAsia" w:hAnsiTheme="minorEastAsia"/>
              <w:bCs/>
            </w:rPr>
            <w:fldChar w:fldCharType="begin"/>
          </w:r>
          <w:r>
            <w:rPr>
              <w:rFonts w:hint="eastAsia" w:asciiTheme="minorEastAsia" w:hAnsiTheme="minorEastAsia"/>
              <w:bCs/>
            </w:rPr>
            <w:instrText xml:space="preserve"> HYPERLINK \l _Toc28377 </w:instrText>
          </w:r>
          <w:r>
            <w:rPr>
              <w:rFonts w:hint="eastAsia" w:asciiTheme="minorEastAsia" w:hAnsiTheme="minorEastAsia"/>
              <w:bCs/>
            </w:rPr>
            <w:fldChar w:fldCharType="separate"/>
          </w:r>
          <w:r>
            <w:rPr>
              <w:rFonts w:hint="eastAsia" w:ascii="方正小标宋简体" w:hAnsi="仿宋" w:eastAsia="方正小标宋简体" w:cs="宋体"/>
              <w:bCs w:val="0"/>
              <w:kern w:val="2"/>
              <w:szCs w:val="44"/>
              <w:lang w:val="en-US" w:eastAsia="zh-CN" w:bidi="ar"/>
            </w:rPr>
            <w:t>前言</w:t>
          </w:r>
          <w:r>
            <w:tab/>
          </w:r>
          <w:r>
            <w:fldChar w:fldCharType="begin"/>
          </w:r>
          <w:r>
            <w:instrText xml:space="preserve"> PAGEREF _Toc28377 \h </w:instrText>
          </w:r>
          <w:r>
            <w:fldChar w:fldCharType="separate"/>
          </w:r>
          <w:r>
            <w:t>1</w:t>
          </w:r>
          <w:r>
            <w:fldChar w:fldCharType="end"/>
          </w:r>
          <w:r>
            <w:rPr>
              <w:rFonts w:hint="eastAsia" w:asciiTheme="minorEastAsia" w:hAnsiTheme="minorEastAsia"/>
              <w:bCs/>
            </w:rPr>
            <w:fldChar w:fldCharType="end"/>
          </w:r>
        </w:p>
        <w:p>
          <w:pPr>
            <w:pStyle w:val="15"/>
            <w:tabs>
              <w:tab w:val="right" w:leader="dot" w:pos="8470"/>
            </w:tabs>
          </w:pPr>
          <w:r>
            <w:rPr>
              <w:rFonts w:hint="eastAsia" w:asciiTheme="minorEastAsia" w:hAnsiTheme="minorEastAsia"/>
              <w:bCs/>
            </w:rPr>
            <w:fldChar w:fldCharType="begin"/>
          </w:r>
          <w:r>
            <w:rPr>
              <w:rFonts w:hint="eastAsia" w:asciiTheme="minorEastAsia" w:hAnsiTheme="minorEastAsia"/>
              <w:bCs/>
            </w:rPr>
            <w:instrText xml:space="preserve"> HYPERLINK \l _Toc6752 </w:instrText>
          </w:r>
          <w:r>
            <w:rPr>
              <w:rFonts w:hint="eastAsia" w:asciiTheme="minorEastAsia" w:hAnsiTheme="minorEastAsia"/>
              <w:bCs/>
            </w:rPr>
            <w:fldChar w:fldCharType="separate"/>
          </w:r>
          <w:r>
            <w:rPr>
              <w:rFonts w:hint="eastAsia" w:ascii="黑体" w:hAnsi="宋体" w:eastAsia="黑体" w:cs="宋体"/>
              <w:bCs/>
              <w:kern w:val="2"/>
              <w:szCs w:val="32"/>
              <w:lang w:val="en-US" w:eastAsia="zh-CN" w:bidi="ar"/>
            </w:rPr>
            <w:t>一、基本情况</w:t>
          </w:r>
          <w:r>
            <w:tab/>
          </w:r>
          <w:r>
            <w:fldChar w:fldCharType="begin"/>
          </w:r>
          <w:r>
            <w:instrText xml:space="preserve"> PAGEREF _Toc6752 \h </w:instrText>
          </w:r>
          <w:r>
            <w:fldChar w:fldCharType="separate"/>
          </w:r>
          <w:r>
            <w:t>3</w:t>
          </w:r>
          <w:r>
            <w:fldChar w:fldCharType="end"/>
          </w:r>
          <w:r>
            <w:rPr>
              <w:rFonts w:hint="eastAsia" w:asciiTheme="minorEastAsia" w:hAnsiTheme="minorEastAsia"/>
              <w:bCs/>
            </w:rPr>
            <w:fldChar w:fldCharType="end"/>
          </w:r>
        </w:p>
        <w:p>
          <w:pPr>
            <w:pStyle w:val="15"/>
            <w:tabs>
              <w:tab w:val="right" w:leader="dot" w:pos="8470"/>
            </w:tabs>
          </w:pPr>
          <w:r>
            <w:rPr>
              <w:rFonts w:hint="eastAsia" w:asciiTheme="minorEastAsia" w:hAnsiTheme="minorEastAsia"/>
              <w:bCs/>
            </w:rPr>
            <w:fldChar w:fldCharType="begin"/>
          </w:r>
          <w:r>
            <w:rPr>
              <w:rFonts w:hint="eastAsia" w:asciiTheme="minorEastAsia" w:hAnsiTheme="minorEastAsia"/>
              <w:bCs/>
            </w:rPr>
            <w:instrText xml:space="preserve"> HYPERLINK \l _Toc15897 </w:instrText>
          </w:r>
          <w:r>
            <w:rPr>
              <w:rFonts w:hint="eastAsia" w:asciiTheme="minorEastAsia" w:hAnsiTheme="minorEastAsia"/>
              <w:bCs/>
            </w:rPr>
            <w:fldChar w:fldCharType="separate"/>
          </w:r>
          <w:r>
            <w:rPr>
              <w:rFonts w:hint="eastAsia" w:ascii="黑体" w:hAnsi="宋体" w:eastAsia="黑体" w:cs="宋体"/>
              <w:bCs/>
              <w:kern w:val="2"/>
              <w:szCs w:val="32"/>
              <w:lang w:val="en-US" w:eastAsia="zh-CN" w:bidi="ar"/>
            </w:rPr>
            <w:t>二、绩效监控</w:t>
          </w:r>
          <w:r>
            <w:tab/>
          </w:r>
          <w:r>
            <w:fldChar w:fldCharType="begin"/>
          </w:r>
          <w:r>
            <w:instrText xml:space="preserve"> PAGEREF _Toc15897 \h </w:instrText>
          </w:r>
          <w:r>
            <w:fldChar w:fldCharType="separate"/>
          </w:r>
          <w:r>
            <w:t>4</w:t>
          </w:r>
          <w:r>
            <w:fldChar w:fldCharType="end"/>
          </w:r>
          <w:r>
            <w:rPr>
              <w:rFonts w:hint="eastAsia" w:asciiTheme="minorEastAsia" w:hAnsiTheme="minorEastAsia"/>
              <w:bCs/>
            </w:rPr>
            <w:fldChar w:fldCharType="end"/>
          </w:r>
        </w:p>
        <w:p>
          <w:pPr>
            <w:pStyle w:val="15"/>
            <w:tabs>
              <w:tab w:val="right" w:leader="dot" w:pos="8470"/>
            </w:tabs>
          </w:pPr>
          <w:r>
            <w:rPr>
              <w:rFonts w:hint="eastAsia" w:asciiTheme="minorEastAsia" w:hAnsiTheme="minorEastAsia"/>
              <w:bCs/>
            </w:rPr>
            <w:fldChar w:fldCharType="begin"/>
          </w:r>
          <w:r>
            <w:rPr>
              <w:rFonts w:hint="eastAsia" w:asciiTheme="minorEastAsia" w:hAnsiTheme="minorEastAsia"/>
              <w:bCs/>
            </w:rPr>
            <w:instrText xml:space="preserve"> HYPERLINK \l _Toc24708 </w:instrText>
          </w:r>
          <w:r>
            <w:rPr>
              <w:rFonts w:hint="eastAsia" w:asciiTheme="minorEastAsia" w:hAnsiTheme="minorEastAsia"/>
              <w:bCs/>
            </w:rPr>
            <w:fldChar w:fldCharType="separate"/>
          </w:r>
          <w:r>
            <w:rPr>
              <w:rFonts w:hint="eastAsia" w:ascii="楷体_GB2312" w:hAnsi="楷体_GB2312" w:eastAsia="楷体_GB2312" w:cs="楷体_GB2312"/>
              <w:szCs w:val="32"/>
              <w:lang w:val="en-US" w:eastAsia="zh-CN"/>
            </w:rPr>
            <w:t>2.1、绩效监控依据</w:t>
          </w:r>
          <w:r>
            <w:tab/>
          </w:r>
          <w:r>
            <w:fldChar w:fldCharType="begin"/>
          </w:r>
          <w:r>
            <w:instrText xml:space="preserve"> PAGEREF _Toc24708 \h </w:instrText>
          </w:r>
          <w:r>
            <w:fldChar w:fldCharType="separate"/>
          </w:r>
          <w:r>
            <w:t>4</w:t>
          </w:r>
          <w:r>
            <w:fldChar w:fldCharType="end"/>
          </w:r>
          <w:r>
            <w:rPr>
              <w:rFonts w:hint="eastAsia" w:asciiTheme="minorEastAsia" w:hAnsiTheme="minorEastAsia"/>
              <w:bCs/>
            </w:rPr>
            <w:fldChar w:fldCharType="end"/>
          </w:r>
        </w:p>
        <w:p>
          <w:pPr>
            <w:pStyle w:val="15"/>
            <w:tabs>
              <w:tab w:val="right" w:leader="dot" w:pos="8470"/>
            </w:tabs>
          </w:pPr>
          <w:r>
            <w:rPr>
              <w:rFonts w:hint="eastAsia" w:asciiTheme="minorEastAsia" w:hAnsiTheme="minorEastAsia"/>
              <w:bCs/>
            </w:rPr>
            <w:fldChar w:fldCharType="begin"/>
          </w:r>
          <w:r>
            <w:rPr>
              <w:rFonts w:hint="eastAsia" w:asciiTheme="minorEastAsia" w:hAnsiTheme="minorEastAsia"/>
              <w:bCs/>
            </w:rPr>
            <w:instrText xml:space="preserve"> HYPERLINK \l _Toc9770 </w:instrText>
          </w:r>
          <w:r>
            <w:rPr>
              <w:rFonts w:hint="eastAsia" w:asciiTheme="minorEastAsia" w:hAnsiTheme="minorEastAsia"/>
              <w:bCs/>
            </w:rPr>
            <w:fldChar w:fldCharType="separate"/>
          </w:r>
          <w:r>
            <w:rPr>
              <w:rFonts w:hint="eastAsia" w:ascii="楷体_GB2312" w:hAnsi="楷体_GB2312" w:eastAsia="楷体_GB2312" w:cs="楷体_GB2312"/>
              <w:szCs w:val="32"/>
              <w:lang w:val="en-US" w:eastAsia="zh-CN"/>
            </w:rPr>
            <w:t>2.2、绩效监控目的</w:t>
          </w:r>
          <w:r>
            <w:tab/>
          </w:r>
          <w:r>
            <w:fldChar w:fldCharType="begin"/>
          </w:r>
          <w:r>
            <w:instrText xml:space="preserve"> PAGEREF _Toc9770 \h </w:instrText>
          </w:r>
          <w:r>
            <w:fldChar w:fldCharType="separate"/>
          </w:r>
          <w:r>
            <w:t>5</w:t>
          </w:r>
          <w:r>
            <w:fldChar w:fldCharType="end"/>
          </w:r>
          <w:r>
            <w:rPr>
              <w:rFonts w:hint="eastAsia" w:asciiTheme="minorEastAsia" w:hAnsiTheme="minorEastAsia"/>
              <w:bCs/>
            </w:rPr>
            <w:fldChar w:fldCharType="end"/>
          </w:r>
        </w:p>
        <w:p>
          <w:pPr>
            <w:pStyle w:val="15"/>
            <w:tabs>
              <w:tab w:val="right" w:leader="dot" w:pos="8470"/>
            </w:tabs>
          </w:pPr>
          <w:r>
            <w:rPr>
              <w:rFonts w:hint="eastAsia" w:asciiTheme="minorEastAsia" w:hAnsiTheme="minorEastAsia"/>
              <w:bCs/>
            </w:rPr>
            <w:fldChar w:fldCharType="begin"/>
          </w:r>
          <w:r>
            <w:rPr>
              <w:rFonts w:hint="eastAsia" w:asciiTheme="minorEastAsia" w:hAnsiTheme="minorEastAsia"/>
              <w:bCs/>
            </w:rPr>
            <w:instrText xml:space="preserve"> HYPERLINK \l _Toc21560 </w:instrText>
          </w:r>
          <w:r>
            <w:rPr>
              <w:rFonts w:hint="eastAsia" w:asciiTheme="minorEastAsia" w:hAnsiTheme="minorEastAsia"/>
              <w:bCs/>
            </w:rPr>
            <w:fldChar w:fldCharType="separate"/>
          </w:r>
          <w:r>
            <w:rPr>
              <w:rFonts w:hint="eastAsia" w:ascii="楷体_GB2312" w:hAnsi="楷体_GB2312" w:eastAsia="楷体_GB2312" w:cs="楷体_GB2312"/>
              <w:szCs w:val="32"/>
              <w:lang w:val="en-US" w:eastAsia="zh-CN"/>
            </w:rPr>
            <w:t>2.3、绩效评价原则、绩效评价实施过程</w:t>
          </w:r>
          <w:r>
            <w:tab/>
          </w:r>
          <w:r>
            <w:fldChar w:fldCharType="begin"/>
          </w:r>
          <w:r>
            <w:instrText xml:space="preserve"> PAGEREF _Toc21560 \h </w:instrText>
          </w:r>
          <w:r>
            <w:fldChar w:fldCharType="separate"/>
          </w:r>
          <w:r>
            <w:t>5</w:t>
          </w:r>
          <w:r>
            <w:fldChar w:fldCharType="end"/>
          </w:r>
          <w:r>
            <w:rPr>
              <w:rFonts w:hint="eastAsia" w:asciiTheme="minorEastAsia" w:hAnsiTheme="minorEastAsia"/>
              <w:bCs/>
            </w:rPr>
            <w:fldChar w:fldCharType="end"/>
          </w:r>
        </w:p>
        <w:p>
          <w:pPr>
            <w:pStyle w:val="15"/>
            <w:tabs>
              <w:tab w:val="right" w:leader="dot" w:pos="8470"/>
            </w:tabs>
          </w:pPr>
          <w:r>
            <w:rPr>
              <w:rFonts w:hint="eastAsia" w:asciiTheme="minorEastAsia" w:hAnsiTheme="minorEastAsia"/>
              <w:bCs/>
            </w:rPr>
            <w:fldChar w:fldCharType="begin"/>
          </w:r>
          <w:r>
            <w:rPr>
              <w:rFonts w:hint="eastAsia" w:asciiTheme="minorEastAsia" w:hAnsiTheme="minorEastAsia"/>
              <w:bCs/>
            </w:rPr>
            <w:instrText xml:space="preserve"> HYPERLINK \l _Toc31743 </w:instrText>
          </w:r>
          <w:r>
            <w:rPr>
              <w:rFonts w:hint="eastAsia" w:asciiTheme="minorEastAsia" w:hAnsiTheme="minorEastAsia"/>
              <w:bCs/>
            </w:rPr>
            <w:fldChar w:fldCharType="separate"/>
          </w:r>
          <w:r>
            <w:rPr>
              <w:rFonts w:hint="eastAsia" w:ascii="楷体_GB2312" w:hAnsi="楷体_GB2312" w:eastAsia="楷体_GB2312" w:cs="楷体_GB2312"/>
              <w:szCs w:val="32"/>
              <w:lang w:val="en-US" w:eastAsia="zh-CN"/>
            </w:rPr>
            <w:t>2.3.1、绩效评价原则</w:t>
          </w:r>
          <w:r>
            <w:tab/>
          </w:r>
          <w:r>
            <w:fldChar w:fldCharType="begin"/>
          </w:r>
          <w:r>
            <w:instrText xml:space="preserve"> PAGEREF _Toc31743 \h </w:instrText>
          </w:r>
          <w:r>
            <w:fldChar w:fldCharType="separate"/>
          </w:r>
          <w:r>
            <w:t>5</w:t>
          </w:r>
          <w:r>
            <w:fldChar w:fldCharType="end"/>
          </w:r>
          <w:r>
            <w:rPr>
              <w:rFonts w:hint="eastAsia" w:asciiTheme="minorEastAsia" w:hAnsiTheme="minorEastAsia"/>
              <w:bCs/>
            </w:rPr>
            <w:fldChar w:fldCharType="end"/>
          </w:r>
        </w:p>
        <w:p>
          <w:pPr>
            <w:pStyle w:val="15"/>
            <w:tabs>
              <w:tab w:val="right" w:leader="dot" w:pos="8470"/>
            </w:tabs>
          </w:pPr>
          <w:r>
            <w:rPr>
              <w:rFonts w:hint="eastAsia" w:asciiTheme="minorEastAsia" w:hAnsiTheme="minorEastAsia"/>
              <w:bCs/>
            </w:rPr>
            <w:fldChar w:fldCharType="begin"/>
          </w:r>
          <w:r>
            <w:rPr>
              <w:rFonts w:hint="eastAsia" w:asciiTheme="minorEastAsia" w:hAnsiTheme="minorEastAsia"/>
              <w:bCs/>
            </w:rPr>
            <w:instrText xml:space="preserve"> HYPERLINK \l _Toc8707 </w:instrText>
          </w:r>
          <w:r>
            <w:rPr>
              <w:rFonts w:hint="eastAsia" w:asciiTheme="minorEastAsia" w:hAnsiTheme="minorEastAsia"/>
              <w:bCs/>
            </w:rPr>
            <w:fldChar w:fldCharType="separate"/>
          </w:r>
          <w:r>
            <w:rPr>
              <w:rFonts w:hint="eastAsia" w:ascii="楷体_GB2312" w:hAnsi="楷体_GB2312" w:eastAsia="楷体_GB2312" w:cs="楷体_GB2312"/>
              <w:szCs w:val="32"/>
              <w:lang w:val="en-US" w:eastAsia="zh-CN"/>
            </w:rPr>
            <w:t>2.3.2、绩效评价方法</w:t>
          </w:r>
          <w:r>
            <w:tab/>
          </w:r>
          <w:r>
            <w:fldChar w:fldCharType="begin"/>
          </w:r>
          <w:r>
            <w:instrText xml:space="preserve"> PAGEREF _Toc8707 \h </w:instrText>
          </w:r>
          <w:r>
            <w:fldChar w:fldCharType="separate"/>
          </w:r>
          <w:r>
            <w:t>6</w:t>
          </w:r>
          <w:r>
            <w:fldChar w:fldCharType="end"/>
          </w:r>
          <w:r>
            <w:rPr>
              <w:rFonts w:hint="eastAsia" w:asciiTheme="minorEastAsia" w:hAnsiTheme="minorEastAsia"/>
              <w:bCs/>
            </w:rPr>
            <w:fldChar w:fldCharType="end"/>
          </w:r>
        </w:p>
        <w:p>
          <w:pPr>
            <w:pStyle w:val="15"/>
            <w:tabs>
              <w:tab w:val="right" w:leader="dot" w:pos="8470"/>
            </w:tabs>
          </w:pPr>
          <w:r>
            <w:rPr>
              <w:rFonts w:hint="eastAsia" w:asciiTheme="minorEastAsia" w:hAnsiTheme="minorEastAsia"/>
              <w:bCs/>
            </w:rPr>
            <w:fldChar w:fldCharType="begin"/>
          </w:r>
          <w:r>
            <w:rPr>
              <w:rFonts w:hint="eastAsia" w:asciiTheme="minorEastAsia" w:hAnsiTheme="minorEastAsia"/>
              <w:bCs/>
            </w:rPr>
            <w:instrText xml:space="preserve"> HYPERLINK \l _Toc32354 </w:instrText>
          </w:r>
          <w:r>
            <w:rPr>
              <w:rFonts w:hint="eastAsia" w:asciiTheme="minorEastAsia" w:hAnsiTheme="minorEastAsia"/>
              <w:bCs/>
            </w:rPr>
            <w:fldChar w:fldCharType="separate"/>
          </w:r>
          <w:r>
            <w:rPr>
              <w:rFonts w:hint="eastAsia" w:ascii="楷体_GB2312" w:hAnsi="楷体_GB2312" w:eastAsia="楷体_GB2312" w:cs="楷体_GB2312"/>
              <w:szCs w:val="32"/>
              <w:lang w:val="en-US" w:eastAsia="zh-CN"/>
            </w:rPr>
            <w:t>2.3.3、绩效评价实施过程</w:t>
          </w:r>
          <w:r>
            <w:tab/>
          </w:r>
          <w:r>
            <w:fldChar w:fldCharType="begin"/>
          </w:r>
          <w:r>
            <w:instrText xml:space="preserve"> PAGEREF _Toc32354 \h </w:instrText>
          </w:r>
          <w:r>
            <w:fldChar w:fldCharType="separate"/>
          </w:r>
          <w:r>
            <w:t>6</w:t>
          </w:r>
          <w:r>
            <w:fldChar w:fldCharType="end"/>
          </w:r>
          <w:r>
            <w:rPr>
              <w:rFonts w:hint="eastAsia" w:asciiTheme="minorEastAsia" w:hAnsiTheme="minorEastAsia"/>
              <w:bCs/>
            </w:rPr>
            <w:fldChar w:fldCharType="end"/>
          </w:r>
        </w:p>
        <w:p>
          <w:pPr>
            <w:pStyle w:val="15"/>
            <w:tabs>
              <w:tab w:val="right" w:leader="dot" w:pos="8470"/>
            </w:tabs>
          </w:pPr>
          <w:r>
            <w:rPr>
              <w:rFonts w:hint="eastAsia" w:asciiTheme="minorEastAsia" w:hAnsiTheme="minorEastAsia"/>
              <w:bCs/>
            </w:rPr>
            <w:fldChar w:fldCharType="begin"/>
          </w:r>
          <w:r>
            <w:rPr>
              <w:rFonts w:hint="eastAsia" w:asciiTheme="minorEastAsia" w:hAnsiTheme="minorEastAsia"/>
              <w:bCs/>
            </w:rPr>
            <w:instrText xml:space="preserve"> HYPERLINK \l _Toc19121 </w:instrText>
          </w:r>
          <w:r>
            <w:rPr>
              <w:rFonts w:hint="eastAsia" w:asciiTheme="minorEastAsia" w:hAnsiTheme="minorEastAsia"/>
              <w:bCs/>
            </w:rPr>
            <w:fldChar w:fldCharType="separate"/>
          </w:r>
          <w:r>
            <w:rPr>
              <w:rFonts w:hint="eastAsia" w:ascii="黑体" w:hAnsi="宋体" w:eastAsia="黑体" w:cs="宋体"/>
              <w:bCs/>
              <w:kern w:val="2"/>
              <w:szCs w:val="32"/>
              <w:lang w:val="en-US" w:eastAsia="zh-CN" w:bidi="ar"/>
            </w:rPr>
            <w:t>三、评价情况</w:t>
          </w:r>
          <w:r>
            <w:tab/>
          </w:r>
          <w:r>
            <w:fldChar w:fldCharType="begin"/>
          </w:r>
          <w:r>
            <w:instrText xml:space="preserve"> PAGEREF _Toc19121 \h </w:instrText>
          </w:r>
          <w:r>
            <w:fldChar w:fldCharType="separate"/>
          </w:r>
          <w:r>
            <w:t>7</w:t>
          </w:r>
          <w:r>
            <w:fldChar w:fldCharType="end"/>
          </w:r>
          <w:r>
            <w:rPr>
              <w:rFonts w:hint="eastAsia" w:asciiTheme="minorEastAsia" w:hAnsiTheme="minorEastAsia"/>
              <w:bCs/>
            </w:rPr>
            <w:fldChar w:fldCharType="end"/>
          </w:r>
        </w:p>
        <w:p>
          <w:pPr>
            <w:pStyle w:val="15"/>
            <w:tabs>
              <w:tab w:val="right" w:leader="dot" w:pos="8470"/>
            </w:tabs>
          </w:pPr>
          <w:r>
            <w:rPr>
              <w:rFonts w:hint="eastAsia" w:asciiTheme="minorEastAsia" w:hAnsiTheme="minorEastAsia"/>
              <w:bCs/>
            </w:rPr>
            <w:fldChar w:fldCharType="begin"/>
          </w:r>
          <w:r>
            <w:rPr>
              <w:rFonts w:hint="eastAsia" w:asciiTheme="minorEastAsia" w:hAnsiTheme="minorEastAsia"/>
              <w:bCs/>
            </w:rPr>
            <w:instrText xml:space="preserve"> HYPERLINK \l _Toc7020 </w:instrText>
          </w:r>
          <w:r>
            <w:rPr>
              <w:rFonts w:hint="eastAsia" w:asciiTheme="minorEastAsia" w:hAnsiTheme="minorEastAsia"/>
              <w:bCs/>
            </w:rPr>
            <w:fldChar w:fldCharType="separate"/>
          </w:r>
          <w:r>
            <w:rPr>
              <w:rFonts w:hint="eastAsia" w:ascii="楷体_GB2312" w:hAnsi="楷体_GB2312" w:eastAsia="楷体_GB2312" w:cs="楷体_GB2312"/>
              <w:szCs w:val="32"/>
              <w:lang w:val="en-US" w:eastAsia="zh-CN"/>
            </w:rPr>
            <w:t>3.1、专项债发行目的分析</w:t>
          </w:r>
          <w:r>
            <w:tab/>
          </w:r>
          <w:r>
            <w:fldChar w:fldCharType="begin"/>
          </w:r>
          <w:r>
            <w:instrText xml:space="preserve"> PAGEREF _Toc7020 \h </w:instrText>
          </w:r>
          <w:r>
            <w:fldChar w:fldCharType="separate"/>
          </w:r>
          <w:r>
            <w:t>7</w:t>
          </w:r>
          <w:r>
            <w:fldChar w:fldCharType="end"/>
          </w:r>
          <w:r>
            <w:rPr>
              <w:rFonts w:hint="eastAsia" w:asciiTheme="minorEastAsia" w:hAnsiTheme="minorEastAsia"/>
              <w:bCs/>
            </w:rPr>
            <w:fldChar w:fldCharType="end"/>
          </w:r>
        </w:p>
        <w:p>
          <w:pPr>
            <w:pStyle w:val="15"/>
            <w:tabs>
              <w:tab w:val="right" w:leader="dot" w:pos="8470"/>
            </w:tabs>
          </w:pPr>
          <w:r>
            <w:rPr>
              <w:rFonts w:hint="eastAsia" w:asciiTheme="minorEastAsia" w:hAnsiTheme="minorEastAsia"/>
              <w:bCs/>
            </w:rPr>
            <w:fldChar w:fldCharType="begin"/>
          </w:r>
          <w:r>
            <w:rPr>
              <w:rFonts w:hint="eastAsia" w:asciiTheme="minorEastAsia" w:hAnsiTheme="minorEastAsia"/>
              <w:bCs/>
            </w:rPr>
            <w:instrText xml:space="preserve"> HYPERLINK \l _Toc14968 </w:instrText>
          </w:r>
          <w:r>
            <w:rPr>
              <w:rFonts w:hint="eastAsia" w:asciiTheme="minorEastAsia" w:hAnsiTheme="minorEastAsia"/>
              <w:bCs/>
            </w:rPr>
            <w:fldChar w:fldCharType="separate"/>
          </w:r>
          <w:r>
            <w:rPr>
              <w:rFonts w:hint="eastAsia" w:ascii="楷体_GB2312" w:hAnsi="楷体_GB2312" w:eastAsia="楷体_GB2312" w:cs="楷体_GB2312"/>
              <w:szCs w:val="32"/>
              <w:lang w:val="en-US" w:eastAsia="zh-CN"/>
            </w:rPr>
            <w:t>3.2、评价思路方法</w:t>
          </w:r>
          <w:r>
            <w:tab/>
          </w:r>
          <w:r>
            <w:fldChar w:fldCharType="begin"/>
          </w:r>
          <w:r>
            <w:instrText xml:space="preserve"> PAGEREF _Toc14968 \h </w:instrText>
          </w:r>
          <w:r>
            <w:fldChar w:fldCharType="separate"/>
          </w:r>
          <w:r>
            <w:t>8</w:t>
          </w:r>
          <w:r>
            <w:fldChar w:fldCharType="end"/>
          </w:r>
          <w:r>
            <w:rPr>
              <w:rFonts w:hint="eastAsia" w:asciiTheme="minorEastAsia" w:hAnsiTheme="minorEastAsia"/>
              <w:bCs/>
            </w:rPr>
            <w:fldChar w:fldCharType="end"/>
          </w:r>
        </w:p>
        <w:p>
          <w:pPr>
            <w:pStyle w:val="15"/>
            <w:tabs>
              <w:tab w:val="right" w:leader="dot" w:pos="8470"/>
            </w:tabs>
          </w:pPr>
          <w:r>
            <w:rPr>
              <w:rFonts w:hint="eastAsia" w:asciiTheme="minorEastAsia" w:hAnsiTheme="minorEastAsia"/>
              <w:bCs/>
            </w:rPr>
            <w:fldChar w:fldCharType="begin"/>
          </w:r>
          <w:r>
            <w:rPr>
              <w:rFonts w:hint="eastAsia" w:asciiTheme="minorEastAsia" w:hAnsiTheme="minorEastAsia"/>
              <w:bCs/>
            </w:rPr>
            <w:instrText xml:space="preserve"> HYPERLINK \l _Toc21265 </w:instrText>
          </w:r>
          <w:r>
            <w:rPr>
              <w:rFonts w:hint="eastAsia" w:asciiTheme="minorEastAsia" w:hAnsiTheme="minorEastAsia"/>
              <w:bCs/>
            </w:rPr>
            <w:fldChar w:fldCharType="separate"/>
          </w:r>
          <w:r>
            <w:rPr>
              <w:rFonts w:hint="eastAsia" w:ascii="楷体_GB2312" w:hAnsi="楷体_GB2312" w:eastAsia="楷体_GB2312" w:cs="楷体_GB2312"/>
              <w:szCs w:val="32"/>
              <w:lang w:val="en-US" w:eastAsia="zh-CN"/>
            </w:rPr>
            <w:t>3.3、绩效评价结论</w:t>
          </w:r>
          <w:r>
            <w:tab/>
          </w:r>
          <w:r>
            <w:fldChar w:fldCharType="begin"/>
          </w:r>
          <w:r>
            <w:instrText xml:space="preserve"> PAGEREF _Toc21265 \h </w:instrText>
          </w:r>
          <w:r>
            <w:fldChar w:fldCharType="separate"/>
          </w:r>
          <w:r>
            <w:t>8</w:t>
          </w:r>
          <w:r>
            <w:fldChar w:fldCharType="end"/>
          </w:r>
          <w:r>
            <w:rPr>
              <w:rFonts w:hint="eastAsia" w:asciiTheme="minorEastAsia" w:hAnsiTheme="minorEastAsia"/>
              <w:bCs/>
            </w:rPr>
            <w:fldChar w:fldCharType="end"/>
          </w:r>
        </w:p>
        <w:p>
          <w:pPr>
            <w:pStyle w:val="15"/>
            <w:tabs>
              <w:tab w:val="right" w:leader="dot" w:pos="8470"/>
            </w:tabs>
          </w:pPr>
          <w:r>
            <w:rPr>
              <w:rFonts w:hint="eastAsia" w:asciiTheme="minorEastAsia" w:hAnsiTheme="minorEastAsia"/>
              <w:bCs/>
            </w:rPr>
            <w:fldChar w:fldCharType="begin"/>
          </w:r>
          <w:r>
            <w:rPr>
              <w:rFonts w:hint="eastAsia" w:asciiTheme="minorEastAsia" w:hAnsiTheme="minorEastAsia"/>
              <w:bCs/>
            </w:rPr>
            <w:instrText xml:space="preserve"> HYPERLINK \l _Toc27582 </w:instrText>
          </w:r>
          <w:r>
            <w:rPr>
              <w:rFonts w:hint="eastAsia" w:asciiTheme="minorEastAsia" w:hAnsiTheme="minorEastAsia"/>
              <w:bCs/>
            </w:rPr>
            <w:fldChar w:fldCharType="separate"/>
          </w:r>
          <w:r>
            <w:rPr>
              <w:rFonts w:hint="eastAsia" w:ascii="黑体" w:hAnsi="宋体" w:eastAsia="黑体" w:cs="宋体"/>
              <w:bCs/>
              <w:kern w:val="2"/>
              <w:szCs w:val="32"/>
              <w:lang w:val="en-US" w:eastAsia="zh-CN" w:bidi="ar"/>
            </w:rPr>
            <w:t>四、立项依据</w:t>
          </w:r>
          <w:r>
            <w:tab/>
          </w:r>
          <w:r>
            <w:fldChar w:fldCharType="begin"/>
          </w:r>
          <w:r>
            <w:instrText xml:space="preserve"> PAGEREF _Toc27582 \h </w:instrText>
          </w:r>
          <w:r>
            <w:fldChar w:fldCharType="separate"/>
          </w:r>
          <w:r>
            <w:t>9</w:t>
          </w:r>
          <w:r>
            <w:fldChar w:fldCharType="end"/>
          </w:r>
          <w:r>
            <w:rPr>
              <w:rFonts w:hint="eastAsia" w:asciiTheme="minorEastAsia" w:hAnsiTheme="minorEastAsia"/>
              <w:bCs/>
            </w:rPr>
            <w:fldChar w:fldCharType="end"/>
          </w:r>
        </w:p>
        <w:p>
          <w:pPr>
            <w:pStyle w:val="15"/>
            <w:tabs>
              <w:tab w:val="right" w:leader="dot" w:pos="8470"/>
            </w:tabs>
          </w:pPr>
          <w:r>
            <w:rPr>
              <w:rFonts w:hint="eastAsia" w:asciiTheme="minorEastAsia" w:hAnsiTheme="minorEastAsia"/>
              <w:bCs/>
            </w:rPr>
            <w:fldChar w:fldCharType="begin"/>
          </w:r>
          <w:r>
            <w:rPr>
              <w:rFonts w:hint="eastAsia" w:asciiTheme="minorEastAsia" w:hAnsiTheme="minorEastAsia"/>
              <w:bCs/>
            </w:rPr>
            <w:instrText xml:space="preserve"> HYPERLINK \l _Toc28476 </w:instrText>
          </w:r>
          <w:r>
            <w:rPr>
              <w:rFonts w:hint="eastAsia" w:asciiTheme="minorEastAsia" w:hAnsiTheme="minorEastAsia"/>
              <w:bCs/>
            </w:rPr>
            <w:fldChar w:fldCharType="separate"/>
          </w:r>
          <w:r>
            <w:rPr>
              <w:rFonts w:hint="eastAsia" w:ascii="黑体" w:hAnsi="宋体" w:eastAsia="黑体" w:cs="宋体"/>
              <w:bCs/>
              <w:kern w:val="2"/>
              <w:szCs w:val="32"/>
              <w:lang w:val="en-US" w:eastAsia="zh-CN" w:bidi="ar"/>
            </w:rPr>
            <w:t>五、专项债资金情况</w:t>
          </w:r>
          <w:r>
            <w:tab/>
          </w:r>
          <w:r>
            <w:fldChar w:fldCharType="begin"/>
          </w:r>
          <w:r>
            <w:instrText xml:space="preserve"> PAGEREF _Toc28476 \h </w:instrText>
          </w:r>
          <w:r>
            <w:fldChar w:fldCharType="separate"/>
          </w:r>
          <w:r>
            <w:t>9</w:t>
          </w:r>
          <w:r>
            <w:fldChar w:fldCharType="end"/>
          </w:r>
          <w:r>
            <w:rPr>
              <w:rFonts w:hint="eastAsia" w:asciiTheme="minorEastAsia" w:hAnsiTheme="minorEastAsia"/>
              <w:bCs/>
            </w:rPr>
            <w:fldChar w:fldCharType="end"/>
          </w:r>
        </w:p>
        <w:p>
          <w:pPr>
            <w:pStyle w:val="15"/>
            <w:tabs>
              <w:tab w:val="right" w:leader="dot" w:pos="8470"/>
            </w:tabs>
          </w:pPr>
          <w:r>
            <w:rPr>
              <w:rFonts w:hint="eastAsia" w:asciiTheme="minorEastAsia" w:hAnsiTheme="minorEastAsia"/>
              <w:bCs/>
            </w:rPr>
            <w:fldChar w:fldCharType="begin"/>
          </w:r>
          <w:r>
            <w:rPr>
              <w:rFonts w:hint="eastAsia" w:asciiTheme="minorEastAsia" w:hAnsiTheme="minorEastAsia"/>
              <w:bCs/>
            </w:rPr>
            <w:instrText xml:space="preserve"> HYPERLINK \l _Toc23904 </w:instrText>
          </w:r>
          <w:r>
            <w:rPr>
              <w:rFonts w:hint="eastAsia" w:asciiTheme="minorEastAsia" w:hAnsiTheme="minorEastAsia"/>
              <w:bCs/>
            </w:rPr>
            <w:fldChar w:fldCharType="separate"/>
          </w:r>
          <w:r>
            <w:rPr>
              <w:rFonts w:hint="eastAsia" w:ascii="楷体_GB2312" w:hAnsi="楷体_GB2312" w:eastAsia="楷体_GB2312" w:cs="楷体_GB2312"/>
              <w:szCs w:val="32"/>
              <w:lang w:val="en-US" w:eastAsia="zh-CN"/>
            </w:rPr>
            <w:t>5.1、专项债发行主体资格</w:t>
          </w:r>
          <w:r>
            <w:tab/>
          </w:r>
          <w:r>
            <w:fldChar w:fldCharType="begin"/>
          </w:r>
          <w:r>
            <w:instrText xml:space="preserve"> PAGEREF _Toc23904 \h </w:instrText>
          </w:r>
          <w:r>
            <w:fldChar w:fldCharType="separate"/>
          </w:r>
          <w:r>
            <w:t>9</w:t>
          </w:r>
          <w:r>
            <w:fldChar w:fldCharType="end"/>
          </w:r>
          <w:r>
            <w:rPr>
              <w:rFonts w:hint="eastAsia" w:asciiTheme="minorEastAsia" w:hAnsiTheme="minorEastAsia"/>
              <w:bCs/>
            </w:rPr>
            <w:fldChar w:fldCharType="end"/>
          </w:r>
        </w:p>
        <w:p>
          <w:pPr>
            <w:pStyle w:val="15"/>
            <w:tabs>
              <w:tab w:val="right" w:leader="dot" w:pos="8470"/>
            </w:tabs>
          </w:pPr>
          <w:r>
            <w:rPr>
              <w:rFonts w:hint="eastAsia" w:asciiTheme="minorEastAsia" w:hAnsiTheme="minorEastAsia"/>
              <w:bCs/>
            </w:rPr>
            <w:fldChar w:fldCharType="begin"/>
          </w:r>
          <w:r>
            <w:rPr>
              <w:rFonts w:hint="eastAsia" w:asciiTheme="minorEastAsia" w:hAnsiTheme="minorEastAsia"/>
              <w:bCs/>
            </w:rPr>
            <w:instrText xml:space="preserve"> HYPERLINK \l _Toc24546 </w:instrText>
          </w:r>
          <w:r>
            <w:rPr>
              <w:rFonts w:hint="eastAsia" w:asciiTheme="minorEastAsia" w:hAnsiTheme="minorEastAsia"/>
              <w:bCs/>
            </w:rPr>
            <w:fldChar w:fldCharType="separate"/>
          </w:r>
          <w:r>
            <w:rPr>
              <w:rFonts w:hint="eastAsia" w:ascii="楷体_GB2312" w:hAnsi="楷体_GB2312" w:eastAsia="楷体_GB2312" w:cs="楷体_GB2312"/>
              <w:szCs w:val="32"/>
              <w:lang w:val="en-US" w:eastAsia="zh-CN"/>
            </w:rPr>
            <w:t>5.2、专项债发行计划</w:t>
          </w:r>
          <w:r>
            <w:tab/>
          </w:r>
          <w:r>
            <w:fldChar w:fldCharType="begin"/>
          </w:r>
          <w:r>
            <w:instrText xml:space="preserve"> PAGEREF _Toc24546 \h </w:instrText>
          </w:r>
          <w:r>
            <w:fldChar w:fldCharType="separate"/>
          </w:r>
          <w:r>
            <w:t>10</w:t>
          </w:r>
          <w:r>
            <w:fldChar w:fldCharType="end"/>
          </w:r>
          <w:r>
            <w:rPr>
              <w:rFonts w:hint="eastAsia" w:asciiTheme="minorEastAsia" w:hAnsiTheme="minorEastAsia"/>
              <w:bCs/>
            </w:rPr>
            <w:fldChar w:fldCharType="end"/>
          </w:r>
        </w:p>
        <w:p>
          <w:pPr>
            <w:pStyle w:val="15"/>
            <w:tabs>
              <w:tab w:val="right" w:leader="dot" w:pos="8470"/>
            </w:tabs>
          </w:pPr>
          <w:r>
            <w:rPr>
              <w:rFonts w:hint="eastAsia" w:asciiTheme="minorEastAsia" w:hAnsiTheme="minorEastAsia"/>
              <w:bCs/>
            </w:rPr>
            <w:fldChar w:fldCharType="begin"/>
          </w:r>
          <w:r>
            <w:rPr>
              <w:rFonts w:hint="eastAsia" w:asciiTheme="minorEastAsia" w:hAnsiTheme="minorEastAsia"/>
              <w:bCs/>
            </w:rPr>
            <w:instrText xml:space="preserve"> HYPERLINK \l _Toc6512 </w:instrText>
          </w:r>
          <w:r>
            <w:rPr>
              <w:rFonts w:hint="eastAsia" w:asciiTheme="minorEastAsia" w:hAnsiTheme="minorEastAsia"/>
              <w:bCs/>
            </w:rPr>
            <w:fldChar w:fldCharType="separate"/>
          </w:r>
          <w:r>
            <w:rPr>
              <w:rFonts w:hint="eastAsia" w:ascii="楷体_GB2312" w:hAnsi="楷体_GB2312" w:eastAsia="楷体_GB2312" w:cs="楷体_GB2312"/>
              <w:szCs w:val="32"/>
              <w:lang w:val="en-US" w:eastAsia="zh-CN"/>
            </w:rPr>
            <w:t>5.3、专项债资金到位情况</w:t>
          </w:r>
          <w:r>
            <w:tab/>
          </w:r>
          <w:r>
            <w:fldChar w:fldCharType="begin"/>
          </w:r>
          <w:r>
            <w:instrText xml:space="preserve"> PAGEREF _Toc6512 \h </w:instrText>
          </w:r>
          <w:r>
            <w:fldChar w:fldCharType="separate"/>
          </w:r>
          <w:r>
            <w:t>10</w:t>
          </w:r>
          <w:r>
            <w:fldChar w:fldCharType="end"/>
          </w:r>
          <w:r>
            <w:rPr>
              <w:rFonts w:hint="eastAsia" w:asciiTheme="minorEastAsia" w:hAnsiTheme="minorEastAsia"/>
              <w:bCs/>
            </w:rPr>
            <w:fldChar w:fldCharType="end"/>
          </w:r>
        </w:p>
        <w:p>
          <w:pPr>
            <w:pStyle w:val="15"/>
            <w:tabs>
              <w:tab w:val="right" w:leader="dot" w:pos="8470"/>
            </w:tabs>
          </w:pPr>
          <w:r>
            <w:rPr>
              <w:rFonts w:hint="eastAsia" w:asciiTheme="minorEastAsia" w:hAnsiTheme="minorEastAsia"/>
              <w:bCs/>
            </w:rPr>
            <w:fldChar w:fldCharType="begin"/>
          </w:r>
          <w:r>
            <w:rPr>
              <w:rFonts w:hint="eastAsia" w:asciiTheme="minorEastAsia" w:hAnsiTheme="minorEastAsia"/>
              <w:bCs/>
            </w:rPr>
            <w:instrText xml:space="preserve"> HYPERLINK \l _Toc24218 </w:instrText>
          </w:r>
          <w:r>
            <w:rPr>
              <w:rFonts w:hint="eastAsia" w:asciiTheme="minorEastAsia" w:hAnsiTheme="minorEastAsia"/>
              <w:bCs/>
            </w:rPr>
            <w:fldChar w:fldCharType="separate"/>
          </w:r>
          <w:r>
            <w:rPr>
              <w:rFonts w:hint="eastAsia" w:ascii="楷体_GB2312" w:hAnsi="楷体_GB2312" w:eastAsia="楷体_GB2312" w:cs="楷体_GB2312"/>
              <w:szCs w:val="32"/>
              <w:lang w:val="en-US" w:eastAsia="zh-CN"/>
            </w:rPr>
            <w:t>5.4、专项债资金具体的支付方案</w:t>
          </w:r>
          <w:r>
            <w:tab/>
          </w:r>
          <w:r>
            <w:fldChar w:fldCharType="begin"/>
          </w:r>
          <w:r>
            <w:instrText xml:space="preserve"> PAGEREF _Toc24218 \h </w:instrText>
          </w:r>
          <w:r>
            <w:fldChar w:fldCharType="separate"/>
          </w:r>
          <w:r>
            <w:t>10</w:t>
          </w:r>
          <w:r>
            <w:fldChar w:fldCharType="end"/>
          </w:r>
          <w:r>
            <w:rPr>
              <w:rFonts w:hint="eastAsia" w:asciiTheme="minorEastAsia" w:hAnsiTheme="minorEastAsia"/>
              <w:bCs/>
            </w:rPr>
            <w:fldChar w:fldCharType="end"/>
          </w:r>
        </w:p>
        <w:p>
          <w:pPr>
            <w:pStyle w:val="15"/>
            <w:tabs>
              <w:tab w:val="right" w:leader="dot" w:pos="8470"/>
            </w:tabs>
          </w:pPr>
          <w:r>
            <w:rPr>
              <w:rFonts w:hint="eastAsia" w:asciiTheme="minorEastAsia" w:hAnsiTheme="minorEastAsia"/>
              <w:bCs/>
            </w:rPr>
            <w:fldChar w:fldCharType="begin"/>
          </w:r>
          <w:r>
            <w:rPr>
              <w:rFonts w:hint="eastAsia" w:asciiTheme="minorEastAsia" w:hAnsiTheme="minorEastAsia"/>
              <w:bCs/>
            </w:rPr>
            <w:instrText xml:space="preserve"> HYPERLINK \l _Toc17211 </w:instrText>
          </w:r>
          <w:r>
            <w:rPr>
              <w:rFonts w:hint="eastAsia" w:asciiTheme="minorEastAsia" w:hAnsiTheme="minorEastAsia"/>
              <w:bCs/>
            </w:rPr>
            <w:fldChar w:fldCharType="separate"/>
          </w:r>
          <w:r>
            <w:rPr>
              <w:rFonts w:hint="eastAsia" w:ascii="黑体" w:hAnsi="宋体" w:eastAsia="黑体" w:cs="宋体"/>
              <w:bCs/>
              <w:kern w:val="2"/>
              <w:szCs w:val="32"/>
              <w:lang w:val="en-US" w:eastAsia="zh-CN" w:bidi="ar"/>
            </w:rPr>
            <w:t>六、项目绩效总目标</w:t>
          </w:r>
          <w:r>
            <w:tab/>
          </w:r>
          <w:r>
            <w:fldChar w:fldCharType="begin"/>
          </w:r>
          <w:r>
            <w:instrText xml:space="preserve"> PAGEREF _Toc17211 \h </w:instrText>
          </w:r>
          <w:r>
            <w:fldChar w:fldCharType="separate"/>
          </w:r>
          <w:r>
            <w:t>11</w:t>
          </w:r>
          <w:r>
            <w:fldChar w:fldCharType="end"/>
          </w:r>
          <w:r>
            <w:rPr>
              <w:rFonts w:hint="eastAsia" w:asciiTheme="minorEastAsia" w:hAnsiTheme="minorEastAsia"/>
              <w:bCs/>
            </w:rPr>
            <w:fldChar w:fldCharType="end"/>
          </w:r>
        </w:p>
        <w:p>
          <w:pPr>
            <w:pStyle w:val="15"/>
            <w:tabs>
              <w:tab w:val="right" w:leader="dot" w:pos="8470"/>
            </w:tabs>
          </w:pPr>
          <w:r>
            <w:rPr>
              <w:rFonts w:hint="eastAsia" w:asciiTheme="minorEastAsia" w:hAnsiTheme="minorEastAsia"/>
              <w:bCs/>
            </w:rPr>
            <w:fldChar w:fldCharType="begin"/>
          </w:r>
          <w:r>
            <w:rPr>
              <w:rFonts w:hint="eastAsia" w:asciiTheme="minorEastAsia" w:hAnsiTheme="minorEastAsia"/>
              <w:bCs/>
            </w:rPr>
            <w:instrText xml:space="preserve"> HYPERLINK \l _Toc11818 </w:instrText>
          </w:r>
          <w:r>
            <w:rPr>
              <w:rFonts w:hint="eastAsia" w:asciiTheme="minorEastAsia" w:hAnsiTheme="minorEastAsia"/>
              <w:bCs/>
            </w:rPr>
            <w:fldChar w:fldCharType="separate"/>
          </w:r>
          <w:r>
            <w:rPr>
              <w:rFonts w:hint="eastAsia" w:ascii="黑体" w:hAnsi="宋体" w:eastAsia="黑体" w:cs="宋体"/>
              <w:bCs/>
              <w:kern w:val="2"/>
              <w:szCs w:val="32"/>
              <w:lang w:val="en-US" w:eastAsia="zh-CN" w:bidi="ar"/>
            </w:rPr>
            <w:t>七、项目风险评估及控制措施</w:t>
          </w:r>
          <w:r>
            <w:tab/>
          </w:r>
          <w:r>
            <w:fldChar w:fldCharType="begin"/>
          </w:r>
          <w:r>
            <w:instrText xml:space="preserve"> PAGEREF _Toc11818 \h </w:instrText>
          </w:r>
          <w:r>
            <w:fldChar w:fldCharType="separate"/>
          </w:r>
          <w:r>
            <w:t>11</w:t>
          </w:r>
          <w:r>
            <w:fldChar w:fldCharType="end"/>
          </w:r>
          <w:r>
            <w:rPr>
              <w:rFonts w:hint="eastAsia" w:asciiTheme="minorEastAsia" w:hAnsiTheme="minorEastAsia"/>
              <w:bCs/>
            </w:rPr>
            <w:fldChar w:fldCharType="end"/>
          </w:r>
        </w:p>
        <w:p>
          <w:pPr>
            <w:pStyle w:val="15"/>
            <w:tabs>
              <w:tab w:val="right" w:leader="dot" w:pos="8470"/>
            </w:tabs>
          </w:pPr>
          <w:r>
            <w:rPr>
              <w:rFonts w:hint="eastAsia" w:asciiTheme="minorEastAsia" w:hAnsiTheme="minorEastAsia"/>
              <w:bCs/>
            </w:rPr>
            <w:fldChar w:fldCharType="begin"/>
          </w:r>
          <w:r>
            <w:rPr>
              <w:rFonts w:hint="eastAsia" w:asciiTheme="minorEastAsia" w:hAnsiTheme="minorEastAsia"/>
              <w:bCs/>
            </w:rPr>
            <w:instrText xml:space="preserve"> HYPERLINK \l _Toc30039 </w:instrText>
          </w:r>
          <w:r>
            <w:rPr>
              <w:rFonts w:hint="eastAsia" w:asciiTheme="minorEastAsia" w:hAnsiTheme="minorEastAsia"/>
              <w:bCs/>
            </w:rPr>
            <w:fldChar w:fldCharType="separate"/>
          </w:r>
          <w:r>
            <w:rPr>
              <w:rFonts w:hint="eastAsia" w:ascii="楷体_GB2312" w:hAnsi="楷体_GB2312" w:eastAsia="楷体_GB2312" w:cs="楷体_GB2312"/>
              <w:szCs w:val="32"/>
              <w:lang w:val="en-US" w:eastAsia="zh-CN"/>
            </w:rPr>
            <w:t>7.1、资金筹措风险</w:t>
          </w:r>
          <w:r>
            <w:tab/>
          </w:r>
          <w:r>
            <w:fldChar w:fldCharType="begin"/>
          </w:r>
          <w:r>
            <w:instrText xml:space="preserve"> PAGEREF _Toc30039 \h </w:instrText>
          </w:r>
          <w:r>
            <w:fldChar w:fldCharType="separate"/>
          </w:r>
          <w:r>
            <w:t>12</w:t>
          </w:r>
          <w:r>
            <w:fldChar w:fldCharType="end"/>
          </w:r>
          <w:r>
            <w:rPr>
              <w:rFonts w:hint="eastAsia" w:asciiTheme="minorEastAsia" w:hAnsiTheme="minorEastAsia"/>
              <w:bCs/>
            </w:rPr>
            <w:fldChar w:fldCharType="end"/>
          </w:r>
        </w:p>
        <w:p>
          <w:pPr>
            <w:pStyle w:val="15"/>
            <w:tabs>
              <w:tab w:val="right" w:leader="dot" w:pos="8470"/>
            </w:tabs>
          </w:pPr>
          <w:r>
            <w:rPr>
              <w:rFonts w:hint="eastAsia" w:asciiTheme="minorEastAsia" w:hAnsiTheme="minorEastAsia"/>
              <w:bCs/>
            </w:rPr>
            <w:fldChar w:fldCharType="begin"/>
          </w:r>
          <w:r>
            <w:rPr>
              <w:rFonts w:hint="eastAsia" w:asciiTheme="minorEastAsia" w:hAnsiTheme="minorEastAsia"/>
              <w:bCs/>
            </w:rPr>
            <w:instrText xml:space="preserve"> HYPERLINK \l _Toc20624 </w:instrText>
          </w:r>
          <w:r>
            <w:rPr>
              <w:rFonts w:hint="eastAsia" w:asciiTheme="minorEastAsia" w:hAnsiTheme="minorEastAsia"/>
              <w:bCs/>
            </w:rPr>
            <w:fldChar w:fldCharType="separate"/>
          </w:r>
          <w:r>
            <w:rPr>
              <w:rFonts w:hint="eastAsia" w:ascii="楷体_GB2312" w:hAnsi="楷体_GB2312" w:eastAsia="楷体_GB2312" w:cs="楷体_GB2312"/>
              <w:szCs w:val="32"/>
              <w:lang w:val="en-US" w:eastAsia="zh-CN"/>
            </w:rPr>
            <w:t>7.2、资金管理风险</w:t>
          </w:r>
          <w:r>
            <w:tab/>
          </w:r>
          <w:r>
            <w:fldChar w:fldCharType="begin"/>
          </w:r>
          <w:r>
            <w:instrText xml:space="preserve"> PAGEREF _Toc20624 \h </w:instrText>
          </w:r>
          <w:r>
            <w:fldChar w:fldCharType="separate"/>
          </w:r>
          <w:r>
            <w:t>12</w:t>
          </w:r>
          <w:r>
            <w:fldChar w:fldCharType="end"/>
          </w:r>
          <w:r>
            <w:rPr>
              <w:rFonts w:hint="eastAsia" w:asciiTheme="minorEastAsia" w:hAnsiTheme="minorEastAsia"/>
              <w:bCs/>
            </w:rPr>
            <w:fldChar w:fldCharType="end"/>
          </w:r>
        </w:p>
        <w:p>
          <w:pPr>
            <w:pStyle w:val="15"/>
            <w:tabs>
              <w:tab w:val="right" w:leader="dot" w:pos="8470"/>
            </w:tabs>
          </w:pPr>
          <w:r>
            <w:rPr>
              <w:rFonts w:hint="eastAsia" w:asciiTheme="minorEastAsia" w:hAnsiTheme="minorEastAsia"/>
              <w:bCs/>
            </w:rPr>
            <w:fldChar w:fldCharType="begin"/>
          </w:r>
          <w:r>
            <w:rPr>
              <w:rFonts w:hint="eastAsia" w:asciiTheme="minorEastAsia" w:hAnsiTheme="minorEastAsia"/>
              <w:bCs/>
            </w:rPr>
            <w:instrText xml:space="preserve"> HYPERLINK \l _Toc4756 </w:instrText>
          </w:r>
          <w:r>
            <w:rPr>
              <w:rFonts w:hint="eastAsia" w:asciiTheme="minorEastAsia" w:hAnsiTheme="minorEastAsia"/>
              <w:bCs/>
            </w:rPr>
            <w:fldChar w:fldCharType="separate"/>
          </w:r>
          <w:r>
            <w:rPr>
              <w:rFonts w:hint="eastAsia" w:ascii="黑体" w:hAnsi="宋体" w:eastAsia="黑体" w:cs="宋体"/>
              <w:bCs/>
              <w:kern w:val="2"/>
              <w:szCs w:val="32"/>
              <w:lang w:val="en-US" w:eastAsia="zh-CN" w:bidi="ar"/>
            </w:rPr>
            <w:t>八、风险应对措施</w:t>
          </w:r>
          <w:r>
            <w:tab/>
          </w:r>
          <w:r>
            <w:fldChar w:fldCharType="begin"/>
          </w:r>
          <w:r>
            <w:instrText xml:space="preserve"> PAGEREF _Toc4756 \h </w:instrText>
          </w:r>
          <w:r>
            <w:fldChar w:fldCharType="separate"/>
          </w:r>
          <w:r>
            <w:t>12</w:t>
          </w:r>
          <w:r>
            <w:fldChar w:fldCharType="end"/>
          </w:r>
          <w:r>
            <w:rPr>
              <w:rFonts w:hint="eastAsia" w:asciiTheme="minorEastAsia" w:hAnsiTheme="minorEastAsia"/>
              <w:bCs/>
            </w:rPr>
            <w:fldChar w:fldCharType="end"/>
          </w:r>
        </w:p>
        <w:p>
          <w:pPr>
            <w:pStyle w:val="15"/>
            <w:tabs>
              <w:tab w:val="right" w:leader="dot" w:pos="8470"/>
            </w:tabs>
          </w:pPr>
          <w:r>
            <w:rPr>
              <w:rFonts w:hint="eastAsia" w:asciiTheme="minorEastAsia" w:hAnsiTheme="minorEastAsia"/>
              <w:bCs/>
            </w:rPr>
            <w:fldChar w:fldCharType="begin"/>
          </w:r>
          <w:r>
            <w:rPr>
              <w:rFonts w:hint="eastAsia" w:asciiTheme="minorEastAsia" w:hAnsiTheme="minorEastAsia"/>
              <w:bCs/>
            </w:rPr>
            <w:instrText xml:space="preserve"> HYPERLINK \l _Toc24495 </w:instrText>
          </w:r>
          <w:r>
            <w:rPr>
              <w:rFonts w:hint="eastAsia" w:asciiTheme="minorEastAsia" w:hAnsiTheme="minorEastAsia"/>
              <w:bCs/>
            </w:rPr>
            <w:fldChar w:fldCharType="separate"/>
          </w:r>
          <w:r>
            <w:rPr>
              <w:rFonts w:hint="eastAsia" w:ascii="楷体_GB2312" w:hAnsi="楷体_GB2312" w:eastAsia="楷体_GB2312" w:cs="楷体_GB2312"/>
              <w:szCs w:val="32"/>
              <w:lang w:val="en-US" w:eastAsia="zh-CN"/>
            </w:rPr>
            <w:t>8.1、资金筹措风险应对措施</w:t>
          </w:r>
          <w:r>
            <w:tab/>
          </w:r>
          <w:r>
            <w:fldChar w:fldCharType="begin"/>
          </w:r>
          <w:r>
            <w:instrText xml:space="preserve"> PAGEREF _Toc24495 \h </w:instrText>
          </w:r>
          <w:r>
            <w:fldChar w:fldCharType="separate"/>
          </w:r>
          <w:r>
            <w:t>13</w:t>
          </w:r>
          <w:r>
            <w:fldChar w:fldCharType="end"/>
          </w:r>
          <w:r>
            <w:rPr>
              <w:rFonts w:hint="eastAsia" w:asciiTheme="minorEastAsia" w:hAnsiTheme="minorEastAsia"/>
              <w:bCs/>
            </w:rPr>
            <w:fldChar w:fldCharType="end"/>
          </w:r>
        </w:p>
        <w:p>
          <w:pPr>
            <w:pStyle w:val="15"/>
            <w:tabs>
              <w:tab w:val="right" w:leader="dot" w:pos="8470"/>
            </w:tabs>
          </w:pPr>
          <w:r>
            <w:rPr>
              <w:rFonts w:hint="eastAsia" w:asciiTheme="minorEastAsia" w:hAnsiTheme="minorEastAsia"/>
              <w:bCs/>
            </w:rPr>
            <w:fldChar w:fldCharType="begin"/>
          </w:r>
          <w:r>
            <w:rPr>
              <w:rFonts w:hint="eastAsia" w:asciiTheme="minorEastAsia" w:hAnsiTheme="minorEastAsia"/>
              <w:bCs/>
            </w:rPr>
            <w:instrText xml:space="preserve"> HYPERLINK \l _Toc21595 </w:instrText>
          </w:r>
          <w:r>
            <w:rPr>
              <w:rFonts w:hint="eastAsia" w:asciiTheme="minorEastAsia" w:hAnsiTheme="minorEastAsia"/>
              <w:bCs/>
            </w:rPr>
            <w:fldChar w:fldCharType="separate"/>
          </w:r>
          <w:r>
            <w:rPr>
              <w:rFonts w:hint="eastAsia" w:ascii="楷体_GB2312" w:hAnsi="楷体_GB2312" w:eastAsia="楷体_GB2312" w:cs="楷体_GB2312"/>
              <w:szCs w:val="32"/>
              <w:lang w:val="en-US" w:eastAsia="zh-CN"/>
            </w:rPr>
            <w:t>8.2、资金管理风险应对措施</w:t>
          </w:r>
          <w:r>
            <w:tab/>
          </w:r>
          <w:r>
            <w:fldChar w:fldCharType="begin"/>
          </w:r>
          <w:r>
            <w:instrText xml:space="preserve"> PAGEREF _Toc21595 \h </w:instrText>
          </w:r>
          <w:r>
            <w:fldChar w:fldCharType="separate"/>
          </w:r>
          <w:r>
            <w:t>13</w:t>
          </w:r>
          <w:r>
            <w:fldChar w:fldCharType="end"/>
          </w:r>
          <w:r>
            <w:rPr>
              <w:rFonts w:hint="eastAsia" w:asciiTheme="minorEastAsia" w:hAnsiTheme="minorEastAsia"/>
              <w:bCs/>
            </w:rPr>
            <w:fldChar w:fldCharType="end"/>
          </w:r>
        </w:p>
        <w:p>
          <w:pPr>
            <w:pStyle w:val="15"/>
            <w:tabs>
              <w:tab w:val="right" w:leader="dot" w:pos="8470"/>
            </w:tabs>
          </w:pPr>
          <w:r>
            <w:rPr>
              <w:rFonts w:hint="eastAsia" w:asciiTheme="minorEastAsia" w:hAnsiTheme="minorEastAsia"/>
              <w:bCs/>
            </w:rPr>
            <w:fldChar w:fldCharType="begin"/>
          </w:r>
          <w:r>
            <w:rPr>
              <w:rFonts w:hint="eastAsia" w:asciiTheme="minorEastAsia" w:hAnsiTheme="minorEastAsia"/>
              <w:bCs/>
            </w:rPr>
            <w:instrText xml:space="preserve"> HYPERLINK \l _Toc25105 </w:instrText>
          </w:r>
          <w:r>
            <w:rPr>
              <w:rFonts w:hint="eastAsia" w:asciiTheme="minorEastAsia" w:hAnsiTheme="minorEastAsia"/>
              <w:bCs/>
            </w:rPr>
            <w:fldChar w:fldCharType="separate"/>
          </w:r>
          <w:r>
            <w:rPr>
              <w:rFonts w:hint="eastAsia" w:ascii="黑体" w:hAnsi="宋体" w:eastAsia="黑体" w:cs="宋体"/>
              <w:bCs/>
              <w:kern w:val="2"/>
              <w:szCs w:val="32"/>
              <w:lang w:val="en-US" w:eastAsia="zh-CN" w:bidi="ar"/>
            </w:rPr>
            <w:t>九、评价结论</w:t>
          </w:r>
          <w:r>
            <w:tab/>
          </w:r>
          <w:r>
            <w:fldChar w:fldCharType="begin"/>
          </w:r>
          <w:r>
            <w:instrText xml:space="preserve"> PAGEREF _Toc25105 \h </w:instrText>
          </w:r>
          <w:r>
            <w:fldChar w:fldCharType="separate"/>
          </w:r>
          <w:r>
            <w:t>14</w:t>
          </w:r>
          <w:r>
            <w:fldChar w:fldCharType="end"/>
          </w:r>
          <w:r>
            <w:rPr>
              <w:rFonts w:hint="eastAsia" w:asciiTheme="minorEastAsia" w:hAnsiTheme="minorEastAsia"/>
              <w:bCs/>
            </w:rPr>
            <w:fldChar w:fldCharType="end"/>
          </w:r>
        </w:p>
        <w:p>
          <w:pPr>
            <w:pStyle w:val="15"/>
            <w:tabs>
              <w:tab w:val="right" w:leader="dot" w:pos="8470"/>
            </w:tabs>
          </w:pPr>
          <w:r>
            <w:rPr>
              <w:rFonts w:hint="eastAsia" w:asciiTheme="minorEastAsia" w:hAnsiTheme="minorEastAsia"/>
              <w:bCs/>
            </w:rPr>
            <w:fldChar w:fldCharType="begin"/>
          </w:r>
          <w:r>
            <w:rPr>
              <w:rFonts w:hint="eastAsia" w:asciiTheme="minorEastAsia" w:hAnsiTheme="minorEastAsia"/>
              <w:bCs/>
            </w:rPr>
            <w:instrText xml:space="preserve"> HYPERLINK \l _Toc13996 </w:instrText>
          </w:r>
          <w:r>
            <w:rPr>
              <w:rFonts w:hint="eastAsia" w:asciiTheme="minorEastAsia" w:hAnsiTheme="minorEastAsia"/>
              <w:bCs/>
            </w:rPr>
            <w:fldChar w:fldCharType="separate"/>
          </w:r>
          <w:r>
            <w:rPr>
              <w:rFonts w:hint="eastAsia" w:ascii="黑体" w:hAnsi="宋体" w:eastAsia="黑体" w:cs="宋体"/>
              <w:bCs/>
              <w:kern w:val="2"/>
              <w:szCs w:val="32"/>
              <w:lang w:val="en-US" w:eastAsia="zh-CN" w:bidi="ar"/>
            </w:rPr>
            <w:t>十、存在的问题和建议</w:t>
          </w:r>
          <w:r>
            <w:tab/>
          </w:r>
          <w:r>
            <w:fldChar w:fldCharType="begin"/>
          </w:r>
          <w:r>
            <w:instrText xml:space="preserve"> PAGEREF _Toc13996 \h </w:instrText>
          </w:r>
          <w:r>
            <w:fldChar w:fldCharType="separate"/>
          </w:r>
          <w:r>
            <w:t>14</w:t>
          </w:r>
          <w:r>
            <w:fldChar w:fldCharType="end"/>
          </w:r>
          <w:r>
            <w:rPr>
              <w:rFonts w:hint="eastAsia" w:asciiTheme="minorEastAsia" w:hAnsiTheme="minorEastAsia"/>
              <w:bCs/>
            </w:rPr>
            <w:fldChar w:fldCharType="end"/>
          </w:r>
        </w:p>
        <w:p>
          <w:pPr>
            <w:pStyle w:val="15"/>
            <w:tabs>
              <w:tab w:val="right" w:leader="dot" w:pos="8470"/>
            </w:tabs>
          </w:pPr>
          <w:r>
            <w:rPr>
              <w:rFonts w:hint="eastAsia" w:asciiTheme="minorEastAsia" w:hAnsiTheme="minorEastAsia"/>
              <w:bCs/>
            </w:rPr>
            <w:fldChar w:fldCharType="begin"/>
          </w:r>
          <w:r>
            <w:rPr>
              <w:rFonts w:hint="eastAsia" w:asciiTheme="minorEastAsia" w:hAnsiTheme="minorEastAsia"/>
              <w:bCs/>
            </w:rPr>
            <w:instrText xml:space="preserve"> HYPERLINK \l _Toc15572 </w:instrText>
          </w:r>
          <w:r>
            <w:rPr>
              <w:rFonts w:hint="eastAsia" w:asciiTheme="minorEastAsia" w:hAnsiTheme="minorEastAsia"/>
              <w:bCs/>
            </w:rPr>
            <w:fldChar w:fldCharType="separate"/>
          </w:r>
          <w:r>
            <w:rPr>
              <w:rFonts w:hint="eastAsia" w:ascii="楷体_GB2312" w:hAnsi="楷体_GB2312" w:eastAsia="楷体_GB2312" w:cs="楷体_GB2312"/>
              <w:szCs w:val="32"/>
              <w:lang w:val="en-US" w:eastAsia="zh-CN"/>
            </w:rPr>
            <w:t>10.1、存在的主要问题</w:t>
          </w:r>
          <w:r>
            <w:tab/>
          </w:r>
          <w:r>
            <w:fldChar w:fldCharType="begin"/>
          </w:r>
          <w:r>
            <w:instrText xml:space="preserve"> PAGEREF _Toc15572 \h </w:instrText>
          </w:r>
          <w:r>
            <w:fldChar w:fldCharType="separate"/>
          </w:r>
          <w:r>
            <w:t>14</w:t>
          </w:r>
          <w:r>
            <w:fldChar w:fldCharType="end"/>
          </w:r>
          <w:r>
            <w:rPr>
              <w:rFonts w:hint="eastAsia" w:asciiTheme="minorEastAsia" w:hAnsiTheme="minorEastAsia"/>
              <w:bCs/>
            </w:rPr>
            <w:fldChar w:fldCharType="end"/>
          </w:r>
        </w:p>
        <w:p>
          <w:pPr>
            <w:pStyle w:val="15"/>
            <w:tabs>
              <w:tab w:val="right" w:leader="dot" w:pos="8470"/>
            </w:tabs>
          </w:pPr>
          <w:r>
            <w:rPr>
              <w:rFonts w:hint="eastAsia" w:asciiTheme="minorEastAsia" w:hAnsiTheme="minorEastAsia"/>
              <w:bCs/>
            </w:rPr>
            <w:fldChar w:fldCharType="begin"/>
          </w:r>
          <w:r>
            <w:rPr>
              <w:rFonts w:hint="eastAsia" w:asciiTheme="minorEastAsia" w:hAnsiTheme="minorEastAsia"/>
              <w:bCs/>
            </w:rPr>
            <w:instrText xml:space="preserve"> HYPERLINK \l _Toc26342 </w:instrText>
          </w:r>
          <w:r>
            <w:rPr>
              <w:rFonts w:hint="eastAsia" w:asciiTheme="minorEastAsia" w:hAnsiTheme="minorEastAsia"/>
              <w:bCs/>
            </w:rPr>
            <w:fldChar w:fldCharType="separate"/>
          </w:r>
          <w:r>
            <w:rPr>
              <w:rFonts w:hint="eastAsia" w:ascii="楷体_GB2312" w:hAnsi="楷体_GB2312" w:eastAsia="楷体_GB2312" w:cs="楷体_GB2312"/>
              <w:szCs w:val="32"/>
              <w:lang w:val="en-US" w:eastAsia="zh-CN"/>
            </w:rPr>
            <w:t>10.2、建议</w:t>
          </w:r>
          <w:r>
            <w:tab/>
          </w:r>
          <w:r>
            <w:fldChar w:fldCharType="begin"/>
          </w:r>
          <w:r>
            <w:instrText xml:space="preserve"> PAGEREF _Toc26342 \h </w:instrText>
          </w:r>
          <w:r>
            <w:fldChar w:fldCharType="separate"/>
          </w:r>
          <w:r>
            <w:t>14</w:t>
          </w:r>
          <w:r>
            <w:fldChar w:fldCharType="end"/>
          </w:r>
          <w:r>
            <w:rPr>
              <w:rFonts w:hint="eastAsia" w:asciiTheme="minorEastAsia" w:hAnsiTheme="minorEastAsia"/>
              <w:bCs/>
            </w:rPr>
            <w:fldChar w:fldCharType="end"/>
          </w:r>
        </w:p>
        <w:p>
          <w:pPr>
            <w:pStyle w:val="15"/>
            <w:tabs>
              <w:tab w:val="right" w:leader="dot" w:pos="8470"/>
            </w:tabs>
          </w:pPr>
          <w:r>
            <w:rPr>
              <w:rFonts w:hint="eastAsia" w:asciiTheme="minorEastAsia" w:hAnsiTheme="minorEastAsia"/>
              <w:bCs/>
            </w:rPr>
            <w:fldChar w:fldCharType="begin"/>
          </w:r>
          <w:r>
            <w:rPr>
              <w:rFonts w:hint="eastAsia" w:asciiTheme="minorEastAsia" w:hAnsiTheme="minorEastAsia"/>
              <w:bCs/>
            </w:rPr>
            <w:instrText xml:space="preserve"> HYPERLINK \l _Toc6593 </w:instrText>
          </w:r>
          <w:r>
            <w:rPr>
              <w:rFonts w:hint="eastAsia" w:asciiTheme="minorEastAsia" w:hAnsiTheme="minorEastAsia"/>
              <w:bCs/>
            </w:rPr>
            <w:fldChar w:fldCharType="separate"/>
          </w:r>
          <w:r>
            <w:rPr>
              <w:rFonts w:hint="eastAsia" w:ascii="黑体" w:hAnsi="宋体" w:eastAsia="黑体" w:cs="宋体"/>
              <w:bCs/>
              <w:kern w:val="2"/>
              <w:szCs w:val="32"/>
              <w:lang w:val="en-US" w:eastAsia="zh-CN" w:bidi="ar"/>
            </w:rPr>
            <w:t>十一、其他需要说明的问题</w:t>
          </w:r>
          <w:r>
            <w:tab/>
          </w:r>
          <w:r>
            <w:fldChar w:fldCharType="begin"/>
          </w:r>
          <w:r>
            <w:instrText xml:space="preserve"> PAGEREF _Toc6593 \h </w:instrText>
          </w:r>
          <w:r>
            <w:fldChar w:fldCharType="separate"/>
          </w:r>
          <w:r>
            <w:t>15</w:t>
          </w:r>
          <w:r>
            <w:fldChar w:fldCharType="end"/>
          </w:r>
          <w:r>
            <w:rPr>
              <w:rFonts w:hint="eastAsia" w:asciiTheme="minorEastAsia" w:hAnsiTheme="minorEastAsia"/>
              <w:bCs/>
            </w:rPr>
            <w:fldChar w:fldCharType="end"/>
          </w:r>
        </w:p>
        <w:p>
          <w:pPr>
            <w:ind w:firstLine="0"/>
            <w:jc w:val="center"/>
            <w:rPr>
              <w:rFonts w:asciiTheme="minorEastAsia" w:hAnsiTheme="minorEastAsia"/>
              <w:b/>
              <w:bCs/>
            </w:rPr>
          </w:pPr>
          <w:r>
            <w:rPr>
              <w:rFonts w:hint="eastAsia" w:asciiTheme="minorEastAsia" w:hAnsiTheme="minorEastAsia"/>
              <w:bCs/>
            </w:rPr>
            <w:fldChar w:fldCharType="end"/>
          </w:r>
        </w:p>
      </w:sdtContent>
    </w:sdt>
    <w:p>
      <w:pPr>
        <w:pStyle w:val="8"/>
        <w:ind w:firstLine="0"/>
        <w:jc w:val="both"/>
        <w:rPr>
          <w:rFonts w:asciiTheme="minorEastAsia" w:hAnsiTheme="minorEastAsia"/>
          <w:b/>
          <w:bCs/>
        </w:rPr>
        <w:sectPr>
          <w:headerReference r:id="rId4" w:type="first"/>
          <w:headerReference r:id="rId3" w:type="default"/>
          <w:pgSz w:w="11906" w:h="16838"/>
          <w:pgMar w:top="1417" w:right="1474" w:bottom="1417" w:left="1474" w:header="794" w:footer="822" w:gutter="0"/>
          <w:cols w:space="0" w:num="1"/>
          <w:titlePg/>
          <w:rtlGutter w:val="0"/>
          <w:docGrid w:type="lines" w:linePitch="312" w:charSpace="0"/>
        </w:sectPr>
      </w:pPr>
    </w:p>
    <w:p>
      <w:pPr>
        <w:pStyle w:val="8"/>
        <w:ind w:firstLine="0"/>
        <w:jc w:val="center"/>
        <w:rPr>
          <w:rFonts w:asciiTheme="minorEastAsia" w:hAnsiTheme="minorEastAsia"/>
          <w:b/>
          <w:bCs/>
        </w:rPr>
      </w:pPr>
    </w:p>
    <w:p>
      <w:pPr>
        <w:pStyle w:val="8"/>
        <w:ind w:firstLine="0"/>
        <w:jc w:val="center"/>
        <w:outlineLvl w:val="0"/>
        <w:rPr>
          <w:rFonts w:hint="eastAsia" w:ascii="方正小标宋简体" w:hAnsi="仿宋" w:eastAsia="方正小标宋简体" w:cs="宋体"/>
          <w:b/>
          <w:bCs w:val="0"/>
          <w:kern w:val="2"/>
          <w:sz w:val="44"/>
          <w:szCs w:val="44"/>
          <w:lang w:val="en-US" w:eastAsia="zh-CN" w:bidi="ar"/>
        </w:rPr>
      </w:pPr>
      <w:bookmarkStart w:id="18" w:name="_Toc28377"/>
      <w:bookmarkStart w:id="19" w:name="_Toc28505"/>
      <w:r>
        <w:rPr>
          <w:rFonts w:hint="eastAsia" w:ascii="方正小标宋简体" w:hAnsi="仿宋" w:eastAsia="方正小标宋简体" w:cs="宋体"/>
          <w:b/>
          <w:bCs w:val="0"/>
          <w:kern w:val="2"/>
          <w:sz w:val="44"/>
          <w:szCs w:val="44"/>
          <w:lang w:val="en-US" w:eastAsia="zh-CN" w:bidi="ar"/>
        </w:rPr>
        <w:t>前言</w:t>
      </w:r>
      <w:bookmarkEnd w:id="18"/>
      <w:bookmarkEnd w:id="19"/>
    </w:p>
    <w:p>
      <w:pPr>
        <w:bidi w:val="0"/>
      </w:pP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为进一步管理和使用好财政资金，提高专项资金使用效益和项目管理水平，根据《中共中央国务院关于全面实施预算绩效管理的意见》（中发〔2018〕34号）、财政部《项目支出绩效评价管理办法》（财预〔2020〕10号）、《中共江西省委江西省人民政府关于全面实施预算绩效管理的实施意见》、中共赣州蓉江新区工作委员会《赣州蓉江新区管理委员会关于全面实施预算管理的实施意见》（赣蓉党发〔2020〕1号）等文件要求，国众联资产评估土地房地产估价有限公司接受委托于2023年12月对赣州蓉江新区惠民医院建设工程项目使用2022年蓉江新区地方政府专项债券（5900万元)进行绩效评价。</w:t>
      </w:r>
    </w:p>
    <w:p>
      <w:pPr>
        <w:pStyle w:val="7"/>
        <w:rPr>
          <w:rFonts w:cs="楷体_GB2312" w:asciiTheme="minorEastAsia" w:hAnsiTheme="minorEastAsia"/>
          <w:sz w:val="28"/>
          <w:szCs w:val="28"/>
        </w:rPr>
      </w:pPr>
    </w:p>
    <w:p>
      <w:pPr>
        <w:pStyle w:val="8"/>
        <w:rPr>
          <w:rFonts w:cs="楷体_GB2312" w:asciiTheme="minorEastAsia" w:hAnsiTheme="minorEastAsia"/>
        </w:rPr>
      </w:pPr>
    </w:p>
    <w:p>
      <w:pPr>
        <w:pStyle w:val="8"/>
        <w:rPr>
          <w:rFonts w:cs="楷体_GB2312" w:asciiTheme="minorEastAsia" w:hAnsiTheme="minorEastAsia"/>
        </w:rPr>
      </w:pPr>
    </w:p>
    <w:p>
      <w:pPr>
        <w:pStyle w:val="8"/>
        <w:rPr>
          <w:rFonts w:cs="楷体_GB2312" w:asciiTheme="minorEastAsia" w:hAnsiTheme="minorEastAsia"/>
        </w:rPr>
      </w:pPr>
    </w:p>
    <w:p>
      <w:pPr>
        <w:pStyle w:val="8"/>
        <w:rPr>
          <w:rFonts w:cs="楷体_GB2312" w:asciiTheme="minorEastAsia" w:hAnsiTheme="minorEastAsia"/>
        </w:rPr>
      </w:pPr>
    </w:p>
    <w:p>
      <w:pPr>
        <w:pStyle w:val="8"/>
        <w:rPr>
          <w:rFonts w:cs="楷体_GB2312" w:asciiTheme="minorEastAsia" w:hAnsiTheme="minorEastAsia"/>
        </w:rPr>
      </w:pPr>
    </w:p>
    <w:p>
      <w:pPr>
        <w:pStyle w:val="8"/>
        <w:ind w:firstLine="0"/>
        <w:rPr>
          <w:rFonts w:cs="楷体_GB2312" w:asciiTheme="minorEastAsia" w:hAnsiTheme="minorEastAsia"/>
        </w:rPr>
      </w:pPr>
    </w:p>
    <w:p>
      <w:pPr>
        <w:pStyle w:val="8"/>
        <w:ind w:firstLine="0"/>
        <w:rPr>
          <w:rFonts w:cs="楷体_GB2312" w:asciiTheme="minorEastAsia" w:hAnsiTheme="minorEastAsia"/>
        </w:rPr>
      </w:pPr>
    </w:p>
    <w:p>
      <w:pPr>
        <w:pStyle w:val="8"/>
        <w:ind w:firstLine="0"/>
        <w:rPr>
          <w:rFonts w:cs="楷体_GB2312" w:asciiTheme="minorEastAsia" w:hAnsiTheme="minorEastAsia"/>
        </w:rPr>
      </w:pPr>
    </w:p>
    <w:p>
      <w:pPr>
        <w:pStyle w:val="14"/>
        <w:rPr>
          <w:rFonts w:asciiTheme="minorEastAsia" w:hAnsiTheme="minorEastAsia" w:eastAsiaTheme="minorEastAsia"/>
        </w:rPr>
      </w:pPr>
    </w:p>
    <w:p>
      <w:pPr>
        <w:keepNext w:val="0"/>
        <w:keepLines w:val="0"/>
        <w:widowControl w:val="0"/>
        <w:numPr>
          <w:ilvl w:val="0"/>
          <w:numId w:val="0"/>
        </w:numPr>
        <w:suppressLineNumbers w:val="0"/>
        <w:tabs>
          <w:tab w:val="left" w:pos="6300"/>
        </w:tabs>
        <w:spacing w:before="0" w:beforeAutospacing="0" w:after="0" w:afterAutospacing="0"/>
        <w:ind w:leftChars="0" w:right="0" w:rightChars="0"/>
        <w:jc w:val="center"/>
        <w:outlineLvl w:val="0"/>
        <w:rPr>
          <w:rFonts w:hint="eastAsia" w:ascii="方正小标宋简体" w:hAnsi="仿宋" w:eastAsia="方正小标宋简体" w:cs="宋体"/>
          <w:b/>
          <w:bCs w:val="0"/>
          <w:kern w:val="2"/>
          <w:sz w:val="44"/>
          <w:szCs w:val="44"/>
          <w:lang w:val="en-US" w:eastAsia="zh-CN" w:bidi="ar"/>
        </w:rPr>
      </w:pPr>
      <w:bookmarkStart w:id="20" w:name="_Toc25145"/>
      <w:bookmarkStart w:id="21" w:name="_Toc27533"/>
      <w:bookmarkStart w:id="22" w:name="_Toc31433"/>
      <w:bookmarkStart w:id="23" w:name="_Toc4340"/>
      <w:bookmarkStart w:id="24" w:name="_Toc4688"/>
      <w:bookmarkStart w:id="25" w:name="_Toc14992"/>
      <w:bookmarkStart w:id="26" w:name="_Toc6546"/>
      <w:r>
        <w:rPr>
          <w:rFonts w:hint="eastAsia" w:ascii="方正小标宋简体" w:hAnsi="仿宋" w:eastAsia="方正小标宋简体" w:cs="宋体"/>
          <w:b/>
          <w:bCs w:val="0"/>
          <w:kern w:val="2"/>
          <w:sz w:val="44"/>
          <w:szCs w:val="44"/>
          <w:lang w:val="en-US" w:eastAsia="zh-CN" w:bidi="ar"/>
        </w:rPr>
        <w:t>2022年度赣州蓉江新区惠民医院</w:t>
      </w:r>
      <w:bookmarkStart w:id="27" w:name="_Toc26367"/>
      <w:bookmarkStart w:id="28" w:name="_Toc23135"/>
      <w:bookmarkStart w:id="29" w:name="_Toc29799"/>
      <w:r>
        <w:rPr>
          <w:rFonts w:hint="eastAsia" w:ascii="方正小标宋简体" w:hAnsi="仿宋" w:eastAsia="方正小标宋简体" w:cs="宋体"/>
          <w:b/>
          <w:bCs w:val="0"/>
          <w:kern w:val="2"/>
          <w:sz w:val="44"/>
          <w:szCs w:val="44"/>
          <w:lang w:val="en-US" w:eastAsia="zh-CN" w:bidi="ar"/>
        </w:rPr>
        <w:t>建设工程</w:t>
      </w:r>
    </w:p>
    <w:p>
      <w:pPr>
        <w:keepNext w:val="0"/>
        <w:keepLines w:val="0"/>
        <w:widowControl w:val="0"/>
        <w:numPr>
          <w:ilvl w:val="0"/>
          <w:numId w:val="0"/>
        </w:numPr>
        <w:suppressLineNumbers w:val="0"/>
        <w:tabs>
          <w:tab w:val="left" w:pos="6300"/>
        </w:tabs>
        <w:spacing w:before="0" w:beforeAutospacing="0" w:after="0" w:afterAutospacing="0"/>
        <w:ind w:leftChars="0" w:right="0" w:rightChars="0"/>
        <w:jc w:val="center"/>
        <w:outlineLvl w:val="0"/>
        <w:rPr>
          <w:rFonts w:hint="eastAsia" w:ascii="方正小标宋简体" w:hAnsi="仿宋" w:eastAsia="方正小标宋简体" w:cs="宋体"/>
          <w:b/>
          <w:bCs w:val="0"/>
          <w:kern w:val="2"/>
          <w:sz w:val="44"/>
          <w:szCs w:val="44"/>
          <w:lang w:val="en-US" w:eastAsia="zh-CN" w:bidi="ar"/>
        </w:rPr>
      </w:pPr>
      <w:r>
        <w:rPr>
          <w:rFonts w:hint="eastAsia" w:ascii="方正小标宋简体" w:hAnsi="仿宋" w:eastAsia="方正小标宋简体" w:cs="宋体"/>
          <w:b/>
          <w:bCs w:val="0"/>
          <w:kern w:val="2"/>
          <w:sz w:val="44"/>
          <w:szCs w:val="44"/>
          <w:lang w:val="en-US" w:eastAsia="zh-CN" w:bidi="ar"/>
        </w:rPr>
        <w:t>项目</w:t>
      </w:r>
      <w:bookmarkEnd w:id="20"/>
      <w:bookmarkEnd w:id="21"/>
      <w:bookmarkEnd w:id="22"/>
      <w:bookmarkEnd w:id="27"/>
      <w:bookmarkEnd w:id="28"/>
      <w:bookmarkEnd w:id="29"/>
      <w:bookmarkStart w:id="30" w:name="_Toc1513"/>
      <w:r>
        <w:rPr>
          <w:rFonts w:hint="eastAsia" w:ascii="方正小标宋简体" w:hAnsi="仿宋" w:eastAsia="方正小标宋简体" w:cs="宋体"/>
          <w:b/>
          <w:bCs w:val="0"/>
          <w:kern w:val="2"/>
          <w:sz w:val="44"/>
          <w:szCs w:val="44"/>
          <w:lang w:val="en-US" w:eastAsia="zh-CN" w:bidi="ar"/>
        </w:rPr>
        <w:t>绩效评价报告</w:t>
      </w:r>
      <w:bookmarkEnd w:id="30"/>
    </w:p>
    <w:p>
      <w:pPr>
        <w:spacing w:line="480" w:lineRule="auto"/>
        <w:jc w:val="center"/>
      </w:pPr>
      <w:r>
        <w:rPr>
          <w:rFonts w:hint="eastAsia" w:ascii="仿宋_GB2312" w:hAnsi="Times New Roman" w:eastAsia="仿宋_GB2312" w:cs="Times New Roman"/>
          <w:kern w:val="2"/>
          <w:sz w:val="32"/>
          <w:szCs w:val="32"/>
          <w:lang w:val="en-US" w:eastAsia="zh-CN" w:bidi="ar-SA"/>
        </w:rPr>
        <w:t>国众联咨报字﹝2024﹞第</w:t>
      </w:r>
      <w:r>
        <w:rPr>
          <w:rFonts w:hint="eastAsia" w:ascii="仿宋_GB2312" w:hAnsi="Times New Roman" w:eastAsia="仿宋_GB2312" w:cs="Times New Roman"/>
          <w:kern w:val="2"/>
          <w:sz w:val="32"/>
          <w:szCs w:val="32"/>
          <w:highlight w:val="none"/>
          <w:lang w:val="en-US" w:eastAsia="zh-CN" w:bidi="ar-SA"/>
        </w:rPr>
        <w:t>5-0036</w:t>
      </w:r>
      <w:r>
        <w:rPr>
          <w:rFonts w:hint="eastAsia" w:ascii="仿宋_GB2312" w:hAnsi="Times New Roman" w:eastAsia="仿宋_GB2312" w:cs="Times New Roman"/>
          <w:kern w:val="2"/>
          <w:sz w:val="32"/>
          <w:szCs w:val="32"/>
          <w:lang w:val="en-US" w:eastAsia="zh-CN" w:bidi="ar-SA"/>
        </w:rPr>
        <w:t>号</w:t>
      </w:r>
    </w:p>
    <w:p>
      <w:pPr>
        <w:pStyle w:val="7"/>
      </w:pPr>
    </w:p>
    <w:p>
      <w:pPr>
        <w:keepNext w:val="0"/>
        <w:keepLines w:val="0"/>
        <w:widowControl w:val="0"/>
        <w:suppressLineNumbers w:val="0"/>
        <w:spacing w:before="0" w:beforeAutospacing="0" w:after="0" w:afterAutospacing="0" w:line="560" w:lineRule="exact"/>
        <w:ind w:left="0" w:right="0"/>
        <w:jc w:val="both"/>
        <w:outlineLvl w:val="1"/>
        <w:rPr>
          <w:rFonts w:hint="eastAsia" w:ascii="黑体" w:hAnsi="宋体" w:eastAsia="黑体" w:cs="宋体"/>
          <w:bCs/>
          <w:kern w:val="2"/>
          <w:sz w:val="32"/>
          <w:szCs w:val="32"/>
          <w:lang w:val="en-US" w:eastAsia="zh-CN" w:bidi="ar"/>
        </w:rPr>
      </w:pPr>
      <w:bookmarkStart w:id="31" w:name="_Toc24581"/>
      <w:bookmarkStart w:id="32" w:name="_Toc4708"/>
      <w:r>
        <w:rPr>
          <w:rFonts w:hint="eastAsia" w:ascii="黑体" w:hAnsi="宋体" w:eastAsia="黑体" w:cs="宋体"/>
          <w:bCs/>
          <w:kern w:val="2"/>
          <w:sz w:val="32"/>
          <w:szCs w:val="32"/>
          <w:lang w:val="en-US" w:eastAsia="zh-CN" w:bidi="ar"/>
        </w:rPr>
        <w:t>赣州蓉江新区财政局：</w:t>
      </w:r>
      <w:bookmarkEnd w:id="31"/>
      <w:bookmarkEnd w:id="32"/>
    </w:p>
    <w:p>
      <w:pPr>
        <w:pStyle w:val="16"/>
        <w:spacing w:before="76" w:beforeAutospacing="0" w:after="0" w:afterAutospacing="0" w:line="30" w:lineRule="atLeast"/>
        <w:ind w:firstLine="640" w:firstLineChars="200"/>
        <w:jc w:val="both"/>
        <w:textAlignment w:val="center"/>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为贯彻落实全面推进预算绩效管理工作的要求，完善部门预算管理，强化预算支出责任，提高财政资金的使用效益，根据《中共中央国务院关于全面实施预算绩效管理的意见》（中发〔2018〕34号）等文件要求，受贵局的委托，国众联资产评估土地房地产估价有限公司以第三方社会机构的身份，承担了2022年度赣州蓉江新区惠民医院建设工程项目（以下简称“惠民医院”）的绩效评价工作。本次绩效评价工作严格依照相关法律法规的规定，遵循“独立、客观、公正、科学”的原则进行。</w:t>
      </w:r>
    </w:p>
    <w:p>
      <w:pPr>
        <w:pStyle w:val="16"/>
        <w:spacing w:before="76" w:beforeAutospacing="0" w:after="0" w:afterAutospacing="0" w:line="30" w:lineRule="atLeast"/>
        <w:ind w:firstLine="640" w:firstLineChars="200"/>
        <w:jc w:val="both"/>
        <w:textAlignment w:val="center"/>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国众联资产评估土地房地产估价有限公司接受委托任务后于2023年12月开始，抽调精干人员力量组成绩效评价组，精心制定绩效评价方案，通过访谈、发放调查问卷、查阅文件文献、现场调研等方式，充分了解和掌握了被评价单位的相关情况后，按照绩效评价指标体系，对被评价项目支出取得的成效与经验、存在的问题进行归纳总结，并提出相关建议，得出评价结论。</w:t>
      </w:r>
    </w:p>
    <w:p>
      <w:pPr>
        <w:pStyle w:val="16"/>
        <w:spacing w:before="76" w:beforeAutospacing="0" w:after="0" w:afterAutospacing="0" w:line="30" w:lineRule="atLeast"/>
        <w:ind w:firstLine="640" w:firstLineChars="200"/>
        <w:jc w:val="both"/>
        <w:textAlignment w:val="center"/>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绩效评价组以绩效评价指标体系要求为基础进行资料收集，收集了被评价单位实施过程中的各项资料，对被评价单位相关负责人进行访谈、开展满意度调查工作等，在此基础上形成《2022年度赣州蓉江新区惠民</w:t>
      </w:r>
      <w:r>
        <w:rPr>
          <w:rFonts w:hint="eastAsia" w:ascii="仿宋_GB2312" w:hAnsi="Times New Roman" w:eastAsia="仿宋_GB2312" w:cs="Times New Roman"/>
          <w:kern w:val="2"/>
          <w:sz w:val="32"/>
          <w:szCs w:val="32"/>
          <w:highlight w:val="none"/>
          <w:lang w:val="en-US" w:eastAsia="zh-CN" w:bidi="ar-SA"/>
        </w:rPr>
        <w:t>医院项目绩</w:t>
      </w:r>
      <w:r>
        <w:rPr>
          <w:rFonts w:hint="eastAsia" w:ascii="仿宋_GB2312" w:hAnsi="Times New Roman" w:eastAsia="仿宋_GB2312" w:cs="Times New Roman"/>
          <w:kern w:val="2"/>
          <w:sz w:val="32"/>
          <w:szCs w:val="32"/>
          <w:lang w:val="en-US" w:eastAsia="zh-CN" w:bidi="ar-SA"/>
        </w:rPr>
        <w:t>效评价报告》。</w:t>
      </w:r>
    </w:p>
    <w:p>
      <w:pPr>
        <w:keepNext w:val="0"/>
        <w:keepLines w:val="0"/>
        <w:widowControl w:val="0"/>
        <w:suppressLineNumbers w:val="0"/>
        <w:spacing w:before="0" w:beforeAutospacing="0" w:after="0" w:afterAutospacing="0" w:line="560" w:lineRule="exact"/>
        <w:ind w:left="0" w:right="0"/>
        <w:jc w:val="both"/>
        <w:outlineLvl w:val="1"/>
        <w:rPr>
          <w:rFonts w:hint="eastAsia" w:ascii="黑体" w:hAnsi="宋体" w:eastAsia="黑体" w:cs="宋体"/>
          <w:bCs/>
          <w:kern w:val="2"/>
          <w:sz w:val="32"/>
          <w:szCs w:val="32"/>
          <w:lang w:val="en-US" w:eastAsia="zh-CN" w:bidi="ar"/>
        </w:rPr>
      </w:pPr>
      <w:bookmarkStart w:id="33" w:name="_Toc6752"/>
      <w:r>
        <w:rPr>
          <w:rFonts w:hint="eastAsia" w:ascii="黑体" w:hAnsi="宋体" w:eastAsia="黑体" w:cs="宋体"/>
          <w:bCs/>
          <w:kern w:val="2"/>
          <w:sz w:val="32"/>
          <w:szCs w:val="32"/>
          <w:lang w:val="en-US" w:eastAsia="zh-CN" w:bidi="ar"/>
        </w:rPr>
        <w:t>一、基本情况</w:t>
      </w:r>
      <w:bookmarkEnd w:id="23"/>
      <w:bookmarkEnd w:id="24"/>
      <w:bookmarkEnd w:id="25"/>
      <w:bookmarkEnd w:id="26"/>
      <w:bookmarkEnd w:id="33"/>
    </w:p>
    <w:p>
      <w:pPr>
        <w:keepNext w:val="0"/>
        <w:keepLines w:val="0"/>
        <w:widowControl/>
        <w:suppressLineNumbers w:val="0"/>
        <w:ind w:firstLine="640" w:firstLineChars="200"/>
        <w:jc w:val="left"/>
        <w:rPr>
          <w:rFonts w:hint="eastAsia" w:ascii="仿宋_GB2312" w:hAnsi="Times New Roman" w:eastAsia="仿宋_GB2312" w:cs="Times New Roman"/>
          <w:kern w:val="2"/>
          <w:sz w:val="32"/>
          <w:szCs w:val="32"/>
          <w:lang w:val="en-US" w:eastAsia="zh-CN" w:bidi="ar-SA"/>
        </w:rPr>
      </w:pPr>
      <w:bookmarkStart w:id="34" w:name="_Toc16961"/>
      <w:bookmarkStart w:id="35" w:name="_Toc18562"/>
      <w:bookmarkStart w:id="36" w:name="_Toc9094"/>
      <w:bookmarkStart w:id="37" w:name="_Toc15504"/>
      <w:bookmarkStart w:id="38" w:name="_Toc4237"/>
      <w:bookmarkStart w:id="39" w:name="_Toc19605"/>
      <w:bookmarkStart w:id="40" w:name="_Toc19704"/>
      <w:bookmarkStart w:id="41" w:name="_Toc18127"/>
      <w:bookmarkStart w:id="42" w:name="_Toc26840"/>
      <w:r>
        <w:rPr>
          <w:rFonts w:hint="eastAsia" w:ascii="仿宋_GB2312" w:hAnsi="Times New Roman" w:eastAsia="仿宋_GB2312" w:cs="Times New Roman"/>
          <w:kern w:val="2"/>
          <w:sz w:val="32"/>
          <w:szCs w:val="32"/>
          <w:lang w:val="en-US" w:eastAsia="zh-CN" w:bidi="ar-SA"/>
        </w:rPr>
        <w:t>1.1、项目建设地：</w:t>
      </w:r>
      <w:bookmarkEnd w:id="34"/>
      <w:bookmarkEnd w:id="35"/>
      <w:bookmarkEnd w:id="36"/>
      <w:bookmarkEnd w:id="37"/>
      <w:bookmarkEnd w:id="38"/>
      <w:bookmarkEnd w:id="39"/>
      <w:r>
        <w:rPr>
          <w:rFonts w:hint="eastAsia" w:ascii="仿宋_GB2312" w:hAnsi="Times New Roman" w:eastAsia="仿宋_GB2312" w:cs="Times New Roman"/>
          <w:kern w:val="2"/>
          <w:sz w:val="32"/>
          <w:szCs w:val="32"/>
          <w:lang w:val="en-US" w:eastAsia="zh-CN" w:bidi="ar-SA"/>
        </w:rPr>
        <w:t>赣州蓉江新区棕竹路北侧，雪松路西侧</w:t>
      </w:r>
      <w:bookmarkEnd w:id="40"/>
      <w:bookmarkEnd w:id="41"/>
      <w:bookmarkEnd w:id="42"/>
      <w:r>
        <w:rPr>
          <w:rFonts w:hint="eastAsia" w:ascii="仿宋_GB2312" w:hAnsi="Times New Roman" w:eastAsia="仿宋_GB2312" w:cs="Times New Roman"/>
          <w:kern w:val="2"/>
          <w:sz w:val="32"/>
          <w:szCs w:val="32"/>
          <w:lang w:val="en-US" w:eastAsia="zh-CN" w:bidi="ar-SA"/>
        </w:rPr>
        <w:t>;</w:t>
      </w:r>
    </w:p>
    <w:p>
      <w:pPr>
        <w:keepNext w:val="0"/>
        <w:keepLines w:val="0"/>
        <w:widowControl/>
        <w:suppressLineNumbers w:val="0"/>
        <w:ind w:firstLine="640" w:firstLineChars="200"/>
        <w:jc w:val="left"/>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1.2、建设项目名称：赣州蓉江新区惠民医院建设工程;</w:t>
      </w:r>
    </w:p>
    <w:p>
      <w:pPr>
        <w:keepNext w:val="0"/>
        <w:keepLines w:val="0"/>
        <w:widowControl/>
        <w:suppressLineNumbers w:val="0"/>
        <w:ind w:firstLine="640" w:firstLineChars="200"/>
        <w:jc w:val="left"/>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1.3、设计单位：北京森磊源建筑规划设计有限公司;</w:t>
      </w:r>
    </w:p>
    <w:p>
      <w:pPr>
        <w:keepNext w:val="0"/>
        <w:keepLines w:val="0"/>
        <w:widowControl/>
        <w:suppressLineNumbers w:val="0"/>
        <w:ind w:firstLine="640" w:firstLineChars="200"/>
        <w:jc w:val="left"/>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1.4、勘察单位：核工业赣州勘察设计集团有限公司;</w:t>
      </w:r>
    </w:p>
    <w:p>
      <w:pPr>
        <w:keepNext w:val="0"/>
        <w:keepLines w:val="0"/>
        <w:widowControl/>
        <w:suppressLineNumbers w:val="0"/>
        <w:ind w:firstLine="640" w:firstLineChars="200"/>
        <w:jc w:val="left"/>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1.5、建设单位：赣州蓉江新区基础设施建设投资管理有限公司;</w:t>
      </w:r>
    </w:p>
    <w:p>
      <w:pPr>
        <w:keepNext w:val="0"/>
        <w:keepLines w:val="0"/>
        <w:widowControl/>
        <w:suppressLineNumbers w:val="0"/>
        <w:ind w:firstLine="640" w:firstLineChars="200"/>
        <w:jc w:val="left"/>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1.6、项目责任人：赣州蓉江新区蓉盛工程管理有限公司;</w:t>
      </w:r>
    </w:p>
    <w:p>
      <w:pPr>
        <w:keepNext w:val="0"/>
        <w:keepLines w:val="0"/>
        <w:widowControl/>
        <w:suppressLineNumbers w:val="0"/>
        <w:ind w:firstLine="640" w:firstLineChars="200"/>
        <w:jc w:val="left"/>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1.7、监理单位：江西省赣州市昌顺工程建设监理有限公司;</w:t>
      </w:r>
    </w:p>
    <w:p>
      <w:pPr>
        <w:keepNext w:val="0"/>
        <w:keepLines w:val="0"/>
        <w:widowControl/>
        <w:suppressLineNumbers w:val="0"/>
        <w:ind w:firstLine="640" w:firstLineChars="200"/>
        <w:jc w:val="left"/>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1.8、施工单位：中海建筑有限公司;</w:t>
      </w:r>
    </w:p>
    <w:p>
      <w:pPr>
        <w:keepNext w:val="0"/>
        <w:keepLines w:val="0"/>
        <w:widowControl/>
        <w:suppressLineNumbers w:val="0"/>
        <w:ind w:firstLine="640" w:firstLineChars="200"/>
        <w:jc w:val="left"/>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1.9、项目建设期限：本项目建设期为3年。2020年6月至2023年6月。实际开工日期2020年10月11日，完工日期2023年6月30日;</w:t>
      </w:r>
    </w:p>
    <w:p>
      <w:pPr>
        <w:keepNext w:val="0"/>
        <w:keepLines w:val="0"/>
        <w:widowControl/>
        <w:suppressLineNumbers w:val="0"/>
        <w:ind w:firstLine="640" w:firstLineChars="200"/>
        <w:jc w:val="left"/>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1.10、建设内容及规模；本项目建设一栋地上12层、地下1层的二级综合医院，并配套一栋2层的食堂及一栋2层的发热门诊，总建筑面积41212.69㎡，其中地上建筑面积28587.83㎡，地下建筑面积12624.86㎡。容积率1.43，绿地率约30.12%。机动车位286个，非机动车位568个，</w:t>
      </w:r>
    </w:p>
    <w:p>
      <w:pPr>
        <w:keepNext w:val="0"/>
        <w:keepLines w:val="0"/>
        <w:widowControl/>
        <w:suppressLineNumbers w:val="0"/>
        <w:ind w:firstLine="640" w:firstLineChars="200"/>
        <w:jc w:val="left"/>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设计床位200个，新建急诊部、门诊部、住院部、医技科室、值班室、行政办公室、宿舍、发热门诊、地下停车场等，配套建设给排水、电气、通风、人防、医疗设备、机电设备、常规智能化、厨房设备、污水处理设备等工程;</w:t>
      </w:r>
    </w:p>
    <w:p>
      <w:pPr>
        <w:keepNext w:val="0"/>
        <w:keepLines w:val="0"/>
        <w:widowControl/>
        <w:suppressLineNumbers w:val="0"/>
        <w:ind w:firstLine="640" w:firstLineChars="200"/>
        <w:jc w:val="left"/>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1.11、项目总投资及资金来源:项目总投资约47361.62万元，其中工程费用约36589.89万元，建设工程其他费用4318.51万元，基本预备费约1911.97万元，建设期利息4541.25万元。资金来源为财政配套，不足资金由建设单位自筹。按照发行方案及筹资计划，拟通过自筹资金、申请专项债券等途径解决，其中发行专项债券5900万元，发行期限15年，2022年第三批次计划发行5900万元;</w:t>
      </w:r>
    </w:p>
    <w:p>
      <w:pPr>
        <w:keepNext w:val="0"/>
        <w:keepLines w:val="0"/>
        <w:widowControl/>
        <w:suppressLineNumbers w:val="0"/>
        <w:ind w:firstLine="640" w:firstLineChars="200"/>
        <w:jc w:val="left"/>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注：本次仅针对2022已发行专项债5900万元支出进行绩效评价。</w:t>
      </w:r>
    </w:p>
    <w:p>
      <w:pPr>
        <w:keepNext w:val="0"/>
        <w:keepLines w:val="0"/>
        <w:widowControl/>
        <w:suppressLineNumbers w:val="0"/>
        <w:ind w:firstLine="640" w:firstLineChars="200"/>
        <w:jc w:val="left"/>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1.12、项目实施进度：截至2023年6</w:t>
      </w:r>
      <w:r>
        <w:rPr>
          <w:rFonts w:hint="eastAsia" w:ascii="仿宋_GB2312" w:hAnsi="Times New Roman" w:eastAsia="仿宋_GB2312" w:cs="Times New Roman"/>
          <w:color w:val="auto"/>
          <w:kern w:val="2"/>
          <w:sz w:val="32"/>
          <w:szCs w:val="32"/>
          <w:highlight w:val="none"/>
          <w:lang w:val="en-US" w:eastAsia="zh-CN" w:bidi="ar-SA"/>
        </w:rPr>
        <w:t>月30日</w:t>
      </w:r>
      <w:r>
        <w:rPr>
          <w:rFonts w:hint="eastAsia" w:ascii="仿宋_GB2312" w:hAnsi="Times New Roman" w:eastAsia="仿宋_GB2312" w:cs="Times New Roman"/>
          <w:kern w:val="2"/>
          <w:sz w:val="32"/>
          <w:szCs w:val="32"/>
          <w:highlight w:val="none"/>
          <w:lang w:val="en-US" w:eastAsia="zh-CN" w:bidi="ar-SA"/>
        </w:rPr>
        <w:t>，</w:t>
      </w:r>
      <w:r>
        <w:rPr>
          <w:rFonts w:hint="eastAsia" w:ascii="仿宋_GB2312" w:hAnsi="Times New Roman" w:eastAsia="仿宋_GB2312" w:cs="Times New Roman"/>
          <w:kern w:val="2"/>
          <w:sz w:val="32"/>
          <w:szCs w:val="32"/>
          <w:lang w:val="en-US" w:eastAsia="zh-CN" w:bidi="ar-SA"/>
        </w:rPr>
        <w:t>项目已完工。还未验收;</w:t>
      </w:r>
    </w:p>
    <w:p>
      <w:pPr>
        <w:keepNext w:val="0"/>
        <w:keepLines w:val="0"/>
        <w:widowControl/>
        <w:suppressLineNumbers w:val="0"/>
        <w:ind w:firstLine="640" w:firstLineChars="200"/>
        <w:jc w:val="left"/>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1.13、专项债资金进度：2022年度针对本项目已发行专项债资金5900万元，2022年度已收到专项债资金5900万元。2022年度使用专项债资金5873万元，其中5873万元汇入工程款，余27万元未支付（未达到验收支付条件）。</w:t>
      </w:r>
    </w:p>
    <w:p>
      <w:pPr>
        <w:keepNext w:val="0"/>
        <w:keepLines w:val="0"/>
        <w:widowControl w:val="0"/>
        <w:suppressLineNumbers w:val="0"/>
        <w:spacing w:before="0" w:beforeAutospacing="0" w:after="0" w:afterAutospacing="0" w:line="560" w:lineRule="exact"/>
        <w:ind w:left="0" w:right="0"/>
        <w:jc w:val="both"/>
        <w:outlineLvl w:val="1"/>
        <w:rPr>
          <w:rFonts w:hint="eastAsia" w:ascii="黑体" w:hAnsi="宋体" w:eastAsia="黑体" w:cs="宋体"/>
          <w:bCs/>
          <w:kern w:val="2"/>
          <w:sz w:val="32"/>
          <w:szCs w:val="32"/>
          <w:lang w:val="en-US" w:eastAsia="zh-CN" w:bidi="ar"/>
        </w:rPr>
      </w:pPr>
      <w:bookmarkStart w:id="43" w:name="_Toc18738"/>
      <w:bookmarkStart w:id="44" w:name="_Toc15897"/>
      <w:bookmarkStart w:id="45" w:name="_Toc18223"/>
      <w:bookmarkStart w:id="46" w:name="_Toc21349"/>
      <w:bookmarkStart w:id="47" w:name="_Toc31406"/>
      <w:r>
        <w:rPr>
          <w:rFonts w:hint="eastAsia" w:ascii="黑体" w:hAnsi="宋体" w:eastAsia="黑体" w:cs="宋体"/>
          <w:bCs/>
          <w:kern w:val="2"/>
          <w:sz w:val="32"/>
          <w:szCs w:val="32"/>
          <w:lang w:val="en-US" w:eastAsia="zh-CN" w:bidi="ar"/>
        </w:rPr>
        <w:t>二、绩效监控</w:t>
      </w:r>
      <w:bookmarkEnd w:id="43"/>
      <w:bookmarkEnd w:id="44"/>
      <w:bookmarkEnd w:id="45"/>
      <w:bookmarkEnd w:id="46"/>
      <w:bookmarkEnd w:id="47"/>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48" w:name="_Toc3331"/>
      <w:bookmarkStart w:id="49" w:name="_Toc24708"/>
      <w:bookmarkStart w:id="50" w:name="_Toc13706"/>
      <w:bookmarkStart w:id="51" w:name="_Toc17232"/>
      <w:r>
        <w:rPr>
          <w:rFonts w:hint="eastAsia" w:ascii="楷体_GB2312" w:hAnsi="楷体_GB2312" w:eastAsia="楷体_GB2312" w:cs="楷体_GB2312"/>
          <w:sz w:val="32"/>
          <w:szCs w:val="32"/>
          <w:lang w:val="en-US" w:eastAsia="zh-CN"/>
        </w:rPr>
        <w:t>2.1、绩效监控依据</w:t>
      </w:r>
      <w:bookmarkEnd w:id="48"/>
      <w:bookmarkEnd w:id="49"/>
      <w:bookmarkEnd w:id="50"/>
      <w:bookmarkEnd w:id="51"/>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根据《赣州蓉江新区财政局关于开展2021年度区本级预算项目和部门整体支出绩效评价工作的通知》（赣蓉政字〔2022〕10号）文件精神。</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《江西省财政厅关于2021年第五批新增债券转贷地市有关事项的通知》（赣财债〔2021〕83号）。</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《中共中央国务院关于全面实施预算绩效管理的意见》（中发〔2018〕34号）；</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《中共江西省委江西省人民政府关于全面实施预算绩效管理的实施意见》（赣发〔2019〕8号）；</w:t>
      </w:r>
    </w:p>
    <w:p>
      <w:pPr>
        <w:ind w:firstLine="640" w:firstLineChars="200"/>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《中共赣州蓉江新区工作委员会赣州蓉江新区管理委员会关于全面实施预算绩效管理的实施意见》（赣蓉党发〔2020〕1号）。</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《赣州市财政局关于2022年第六批新增债券和再融资债券转贷县（市、区）有关事项的通知》（赣市财债字〔2022〕20号）</w:t>
      </w:r>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52" w:name="_Toc9491"/>
      <w:bookmarkStart w:id="53" w:name="_Toc31758"/>
      <w:bookmarkStart w:id="54" w:name="_Toc9770"/>
      <w:bookmarkStart w:id="55" w:name="_Toc12903"/>
      <w:r>
        <w:rPr>
          <w:rFonts w:hint="eastAsia" w:ascii="楷体_GB2312" w:hAnsi="楷体_GB2312" w:eastAsia="楷体_GB2312" w:cs="楷体_GB2312"/>
          <w:sz w:val="32"/>
          <w:szCs w:val="32"/>
          <w:lang w:val="en-US" w:eastAsia="zh-CN"/>
        </w:rPr>
        <w:t>2.2、绩效监控目的</w:t>
      </w:r>
      <w:bookmarkEnd w:id="52"/>
      <w:bookmarkEnd w:id="53"/>
      <w:bookmarkEnd w:id="54"/>
      <w:bookmarkEnd w:id="55"/>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强化单位自我认知与自我发展。通过实行绩效监控工作，分析专项资金的到位是否及时，使用是否合理及是否达到预期的效果，了解单位自身的管理、创新能力，以便改进不足并得到进一步提升。通过实行绩效监控工作，反映专项资金使用的安全有序及管理状况。</w:t>
      </w:r>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56" w:name="_Toc5854"/>
      <w:bookmarkStart w:id="57" w:name="_Toc26494"/>
      <w:bookmarkStart w:id="58" w:name="_Toc21560"/>
      <w:bookmarkStart w:id="59" w:name="_Toc29223"/>
      <w:r>
        <w:rPr>
          <w:rFonts w:hint="eastAsia" w:ascii="楷体_GB2312" w:hAnsi="楷体_GB2312" w:eastAsia="楷体_GB2312" w:cs="楷体_GB2312"/>
          <w:sz w:val="32"/>
          <w:szCs w:val="32"/>
          <w:lang w:val="en-US" w:eastAsia="zh-CN"/>
        </w:rPr>
        <w:t>2.3、绩效评价原则、绩效评价实施过程</w:t>
      </w:r>
      <w:bookmarkEnd w:id="56"/>
      <w:bookmarkEnd w:id="57"/>
      <w:bookmarkEnd w:id="58"/>
      <w:bookmarkEnd w:id="59"/>
      <w:bookmarkStart w:id="60" w:name="_Toc11808"/>
      <w:bookmarkStart w:id="61" w:name="_Toc28207"/>
      <w:bookmarkStart w:id="62" w:name="_Toc13397"/>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63" w:name="_Toc31743"/>
      <w:r>
        <w:rPr>
          <w:rFonts w:hint="eastAsia" w:ascii="楷体_GB2312" w:hAnsi="楷体_GB2312" w:eastAsia="楷体_GB2312" w:cs="楷体_GB2312"/>
          <w:sz w:val="32"/>
          <w:szCs w:val="32"/>
          <w:lang w:val="en-US" w:eastAsia="zh-CN"/>
        </w:rPr>
        <w:t>2.3.1、绩效评价原则</w:t>
      </w:r>
      <w:bookmarkEnd w:id="60"/>
      <w:bookmarkEnd w:id="61"/>
      <w:bookmarkEnd w:id="62"/>
      <w:bookmarkEnd w:id="63"/>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（1）公开、公正原则；</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（2）科学规范原则。按照科学可行的要求，采用定量与定性分析相结合的方法，以定量分析为主、定性分析为辅；</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（3）动态管理原则；</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（4）经济性、效率性、科学性原则。</w:t>
      </w:r>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64" w:name="_Toc8707"/>
      <w:r>
        <w:rPr>
          <w:rFonts w:hint="eastAsia" w:ascii="楷体_GB2312" w:hAnsi="楷体_GB2312" w:eastAsia="楷体_GB2312" w:cs="楷体_GB2312"/>
          <w:sz w:val="32"/>
          <w:szCs w:val="32"/>
          <w:lang w:val="en-US" w:eastAsia="zh-CN"/>
        </w:rPr>
        <w:t>2.3.2、绩效评价方法</w:t>
      </w:r>
      <w:bookmarkEnd w:id="64"/>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本项目进行绩效评价时采用比较法、因素分析法、公众评判法等方法。</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(1）比较法：充分运用项目预算资料、国家、赣州市发布的各项法律规章制度，对比项目实际情况，找出差异与不足，对项目的各项绩效目标进行分析与评价。</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(2）因素分析法：综合分析影响绩效目标实现、实施效果的内外因素，评价绩效目标实现程度。</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（3）公众评判法：通过对受惠对象发布公众问卷及抽样调查等对项目支出效果进行评判，评价绩效目标实现程度和对象的满意度。</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（4）其他评价方法。</w:t>
      </w:r>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65" w:name="_Toc31737"/>
      <w:bookmarkStart w:id="66" w:name="_Toc10137"/>
      <w:bookmarkStart w:id="67" w:name="_Toc19528"/>
      <w:bookmarkStart w:id="68" w:name="_Toc32354"/>
      <w:r>
        <w:rPr>
          <w:rFonts w:hint="eastAsia" w:ascii="楷体_GB2312" w:hAnsi="楷体_GB2312" w:eastAsia="楷体_GB2312" w:cs="楷体_GB2312"/>
          <w:sz w:val="32"/>
          <w:szCs w:val="32"/>
          <w:lang w:val="en-US" w:eastAsia="zh-CN"/>
        </w:rPr>
        <w:t>2.3.3、绩效评价实施过程</w:t>
      </w:r>
      <w:bookmarkEnd w:id="65"/>
      <w:bookmarkEnd w:id="66"/>
      <w:bookmarkEnd w:id="67"/>
      <w:bookmarkEnd w:id="68"/>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根据相关文件的要求，国众联资产评估土地房地产估价有限公司接受委托任务后制定了资金项目绩效运行工作的工作方案，评价指标，成立了资金项目绩效评价工作领导小组、评价工作组。2023年12月20日召开了现场评价工作安排部署会，于2023年12月30日完成评价工作，绩效评价工作主要如下：</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（一）核实数据。对截至2022年已发行专项债5900万元资金到账，支出数据的准确性、真实性进行核实。</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（二）查阅资料。查阅2022年度项目资金预算安排、预算追加、资金管理、经费支出等相关文件资料和财务凭证。</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（三）实地查看。现场查看实物资产等。</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（四）发放调查问卷，对部门履行职责情况的公众满意度进行调查。</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（五）归纳汇总。对提供的材料及评价报告，结合现场评价情况进行综合分析、归纳汇总。</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（六）评价组对各项评价指标进行分析讨论。</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（七）形成绩效重点评价报告。</w:t>
      </w:r>
    </w:p>
    <w:p>
      <w:pPr>
        <w:pStyle w:val="2"/>
        <w:rPr>
          <w:rFonts w:hint="eastAsia"/>
          <w:lang w:val="en-US" w:eastAsia="zh-CN"/>
        </w:rPr>
      </w:pPr>
    </w:p>
    <w:p>
      <w:pPr>
        <w:keepNext w:val="0"/>
        <w:keepLines w:val="0"/>
        <w:widowControl w:val="0"/>
        <w:suppressLineNumbers w:val="0"/>
        <w:spacing w:before="0" w:beforeAutospacing="0" w:after="0" w:afterAutospacing="0" w:line="560" w:lineRule="exact"/>
        <w:ind w:left="0" w:right="0"/>
        <w:jc w:val="both"/>
        <w:outlineLvl w:val="1"/>
        <w:rPr>
          <w:rFonts w:hint="eastAsia" w:ascii="黑体" w:hAnsi="宋体" w:eastAsia="黑体" w:cs="宋体"/>
          <w:bCs/>
          <w:kern w:val="2"/>
          <w:sz w:val="32"/>
          <w:szCs w:val="32"/>
          <w:lang w:val="en-US" w:eastAsia="zh-CN" w:bidi="ar"/>
        </w:rPr>
      </w:pPr>
      <w:bookmarkStart w:id="69" w:name="_Toc13550"/>
      <w:bookmarkStart w:id="70" w:name="_Toc19121"/>
      <w:bookmarkStart w:id="71" w:name="_Toc21003"/>
      <w:bookmarkStart w:id="72" w:name="_Toc11716"/>
      <w:bookmarkStart w:id="73" w:name="_Toc6321"/>
      <w:r>
        <w:rPr>
          <w:rFonts w:hint="eastAsia" w:ascii="黑体" w:hAnsi="宋体" w:eastAsia="黑体" w:cs="宋体"/>
          <w:bCs/>
          <w:kern w:val="2"/>
          <w:sz w:val="32"/>
          <w:szCs w:val="32"/>
          <w:lang w:val="en-US" w:eastAsia="zh-CN" w:bidi="ar"/>
        </w:rPr>
        <w:t>三、评价情况</w:t>
      </w:r>
      <w:bookmarkEnd w:id="69"/>
      <w:bookmarkEnd w:id="70"/>
      <w:bookmarkEnd w:id="71"/>
      <w:bookmarkEnd w:id="72"/>
      <w:bookmarkEnd w:id="73"/>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74" w:name="_Toc5300"/>
      <w:bookmarkStart w:id="75" w:name="_Toc31587"/>
      <w:bookmarkStart w:id="76" w:name="_Toc7020"/>
      <w:bookmarkStart w:id="77" w:name="_Toc21292"/>
      <w:r>
        <w:rPr>
          <w:rFonts w:hint="eastAsia" w:ascii="楷体_GB2312" w:hAnsi="楷体_GB2312" w:eastAsia="楷体_GB2312" w:cs="楷体_GB2312"/>
          <w:sz w:val="32"/>
          <w:szCs w:val="32"/>
          <w:lang w:val="en-US" w:eastAsia="zh-CN"/>
        </w:rPr>
        <w:t>3.1、专项债发行目的分析</w:t>
      </w:r>
      <w:bookmarkEnd w:id="74"/>
      <w:bookmarkEnd w:id="75"/>
      <w:bookmarkEnd w:id="76"/>
      <w:bookmarkEnd w:id="77"/>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2017年财政部《关于试点发展项目收益与融资自求平衡的地方政府专项债券品种的通知》（财预〔2017〕89号）、2018年财政部《关于做好2018年地方政府债务管理工作的通知》（财预〔2018〕34号）、《赣州市财政局关于2022年第六批新增债券和再融资债券转贷县（市、区）有关事项的通知》（赣市财债字〔2022〕20号）的要求，分类发行专项债券建设的项目，应当能够产生持续稳定现金流收入（包括：政府性基金收入或专项收入），且现金流入应当能够完全覆盖专项债券还本付息的规模。鼓励有条件的地方积极探索在有一定收益的公益性事业领域分类发行专项债券，以对应的政府性基金收入或专项收入偿还。鼓励有条件的地方创新和丰富债券品种，按照中央经济工作会议确定的重点工作，优先在重大区域发展以及乡村振兴、生态环保、保障性住房、公立医院、公立学校、交通、水利、市政基础设施等领域选择符合条件的项目，积极探索试点发行项目收益专项债券，并以对应的政府性基金或专项收入等偿还。项目带来的社会效益和社会影响，能够为当地社会环境、人文条件所接纳，能够与当地社会环境相互适应。为了弥补地方政府的资金不足，减轻政府资金压力，加强资金流通。发挥专项债带动扩大有效投资的重要作用，切实稳定宏观经济大盘，加强供给侧结构性改革，加快城乡之间土地、资金、人员等要素的流动，实现资源的合理化配置。</w:t>
      </w:r>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78" w:name="_Toc14968"/>
      <w:bookmarkStart w:id="79" w:name="_Toc28983"/>
      <w:bookmarkStart w:id="80" w:name="_Toc11207"/>
      <w:bookmarkStart w:id="81" w:name="_Toc7182"/>
      <w:r>
        <w:rPr>
          <w:rFonts w:hint="eastAsia" w:ascii="楷体_GB2312" w:hAnsi="楷体_GB2312" w:eastAsia="楷体_GB2312" w:cs="楷体_GB2312"/>
          <w:sz w:val="32"/>
          <w:szCs w:val="32"/>
          <w:lang w:val="en-US" w:eastAsia="zh-CN"/>
        </w:rPr>
        <w:t>3.2、评价思路方法</w:t>
      </w:r>
      <w:bookmarkEnd w:id="78"/>
      <w:bookmarkEnd w:id="79"/>
      <w:bookmarkEnd w:id="80"/>
      <w:bookmarkEnd w:id="81"/>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主要包括对专项债资金支出的必要性、可行性、公益性、收益性等方面进行论证评价。</w:t>
      </w:r>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82" w:name="_Toc8639"/>
      <w:bookmarkStart w:id="83" w:name="_Toc4228"/>
      <w:bookmarkStart w:id="84" w:name="_Toc21265"/>
      <w:bookmarkStart w:id="85" w:name="_Toc29126"/>
      <w:r>
        <w:rPr>
          <w:rFonts w:hint="eastAsia" w:ascii="楷体_GB2312" w:hAnsi="楷体_GB2312" w:eastAsia="楷体_GB2312" w:cs="楷体_GB2312"/>
          <w:sz w:val="32"/>
          <w:szCs w:val="32"/>
          <w:lang w:val="en-US" w:eastAsia="zh-CN"/>
        </w:rPr>
        <w:t>3.3、绩效评价结论</w:t>
      </w:r>
      <w:bookmarkEnd w:id="82"/>
      <w:bookmarkEnd w:id="83"/>
      <w:bookmarkEnd w:id="84"/>
      <w:bookmarkEnd w:id="85"/>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在经济效益上，提高整个地区的经济水平，对钢铁、建材、交通运输、电信、物业管理等相关产业的发展起到一定的推动作用。在社会影响上，有助于保障和改善民生、促进社会和谐稳定。</w:t>
      </w:r>
      <w:bookmarkStart w:id="86" w:name="_Toc21914"/>
      <w:bookmarkStart w:id="87" w:name="_Toc17657"/>
      <w:bookmarkStart w:id="88" w:name="_Toc5759"/>
      <w:r>
        <w:rPr>
          <w:rFonts w:hint="eastAsia" w:ascii="仿宋_GB2312" w:hAnsi="Times New Roman" w:eastAsia="仿宋_GB2312" w:cs="Times New Roman"/>
          <w:kern w:val="2"/>
          <w:sz w:val="32"/>
          <w:szCs w:val="32"/>
          <w:lang w:val="en-US" w:eastAsia="zh-CN" w:bidi="ar-SA"/>
        </w:rPr>
        <w:t>根据江西力睿工程技术有限公司2022年12月出具的《赣州蓉江新区惠民医院建设工程项目可行性研究报告》（项目编号SD7520），该项目符合《产业结构调整指导目录》（2011年本，2013年修正）鼓励类：教育、文化、卫生、体育服务业中医疗卫生服务设施建设；同时符合当地的卫生事业发展规划。</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本项目的建设，有利于缓解蓉江新区看病难的问题，提高疾病的诊疗水平。将为患者和医护人员创造最为便利和舒适的医疗空间和环境，充分考虑患者、家属及医护人员在医疗、生活、服务、交流、休闲、休息等方面的需要，提供多元化的服务。对改善患者就医条件，提高医护人员工作环境有重要的意义。</w:t>
      </w:r>
    </w:p>
    <w:p>
      <w:pPr>
        <w:keepNext w:val="0"/>
        <w:keepLines w:val="0"/>
        <w:widowControl w:val="0"/>
        <w:numPr>
          <w:ilvl w:val="0"/>
          <w:numId w:val="1"/>
        </w:numPr>
        <w:suppressLineNumbers w:val="0"/>
        <w:spacing w:before="0" w:beforeAutospacing="0" w:after="0" w:afterAutospacing="0" w:line="560" w:lineRule="exact"/>
        <w:ind w:left="630" w:leftChars="0" w:right="0" w:firstLineChars="0"/>
        <w:jc w:val="both"/>
        <w:outlineLvl w:val="1"/>
        <w:rPr>
          <w:rFonts w:hint="eastAsia" w:ascii="黑体" w:hAnsi="宋体" w:eastAsia="黑体" w:cs="宋体"/>
          <w:bCs/>
          <w:kern w:val="2"/>
          <w:sz w:val="32"/>
          <w:szCs w:val="32"/>
          <w:lang w:val="en-US" w:eastAsia="zh-CN" w:bidi="ar"/>
        </w:rPr>
      </w:pPr>
      <w:bookmarkStart w:id="89" w:name="_Toc27582"/>
      <w:r>
        <w:rPr>
          <w:rFonts w:hint="eastAsia" w:ascii="黑体" w:hAnsi="宋体" w:eastAsia="黑体" w:cs="宋体"/>
          <w:bCs/>
          <w:kern w:val="2"/>
          <w:sz w:val="32"/>
          <w:szCs w:val="32"/>
          <w:lang w:val="en-US" w:eastAsia="zh-CN" w:bidi="ar"/>
        </w:rPr>
        <w:t>立项依据</w:t>
      </w:r>
      <w:bookmarkEnd w:id="89"/>
    </w:p>
    <w:p>
      <w:pPr>
        <w:numPr>
          <w:ilvl w:val="0"/>
          <w:numId w:val="0"/>
        </w:numPr>
        <w:ind w:firstLine="640" w:firstLineChars="200"/>
        <w:rPr>
          <w:rFonts w:hint="default" w:ascii="仿宋_GB2312" w:hAnsi="Times New Roman" w:eastAsia="仿宋_GB2312" w:cs="Times New Roman"/>
          <w:kern w:val="2"/>
          <w:sz w:val="32"/>
          <w:szCs w:val="32"/>
          <w:lang w:val="en-US" w:eastAsia="zh-CN" w:bidi="ar-SA"/>
        </w:rPr>
      </w:pPr>
      <w:r>
        <w:rPr>
          <w:rFonts w:hint="default" w:ascii="仿宋_GB2312" w:hAnsi="Times New Roman" w:eastAsia="仿宋_GB2312" w:cs="Times New Roman"/>
          <w:kern w:val="2"/>
          <w:sz w:val="32"/>
          <w:szCs w:val="32"/>
          <w:lang w:val="en-US" w:eastAsia="zh-CN" w:bidi="ar-SA"/>
        </w:rPr>
        <w:t>工程立项批准文号:</w:t>
      </w:r>
    </w:p>
    <w:p>
      <w:pPr>
        <w:numPr>
          <w:ilvl w:val="0"/>
          <w:numId w:val="0"/>
        </w:numPr>
        <w:ind w:firstLine="640" w:firstLineChars="200"/>
        <w:rPr>
          <w:rFonts w:hint="default" w:ascii="仿宋_GB2312" w:hAnsi="Times New Roman" w:eastAsia="仿宋_GB2312" w:cs="Times New Roman"/>
          <w:kern w:val="2"/>
          <w:sz w:val="32"/>
          <w:szCs w:val="32"/>
          <w:lang w:val="en-US" w:eastAsia="zh-CN" w:bidi="ar-SA"/>
        </w:rPr>
      </w:pPr>
      <w:r>
        <w:rPr>
          <w:rFonts w:hint="default" w:ascii="仿宋_GB2312" w:hAnsi="Times New Roman" w:eastAsia="仿宋_GB2312" w:cs="Times New Roman"/>
          <w:kern w:val="2"/>
          <w:sz w:val="32"/>
          <w:szCs w:val="32"/>
          <w:lang w:val="en-US" w:eastAsia="zh-CN" w:bidi="ar-SA"/>
        </w:rPr>
        <w:t>省政府办公厅《2015年全省深化医药卫生体制改革下步工作要点》（赣府厅字〔2015〕90号）</w:t>
      </w:r>
      <w:r>
        <w:rPr>
          <w:rFonts w:hint="eastAsia" w:ascii="仿宋_GB2312" w:hAnsi="Times New Roman" w:eastAsia="仿宋_GB2312" w:cs="Times New Roman"/>
          <w:kern w:val="2"/>
          <w:sz w:val="32"/>
          <w:szCs w:val="32"/>
          <w:lang w:val="en-US" w:eastAsia="zh-CN" w:bidi="ar-SA"/>
        </w:rPr>
        <w:t>;</w:t>
      </w:r>
    </w:p>
    <w:p>
      <w:pPr>
        <w:numPr>
          <w:ilvl w:val="0"/>
          <w:numId w:val="0"/>
        </w:numPr>
        <w:ind w:firstLine="640" w:firstLineChars="200"/>
        <w:rPr>
          <w:rFonts w:hint="eastAsia" w:ascii="仿宋_GB2312" w:hAnsi="Times New Roman" w:eastAsia="仿宋_GB2312" w:cs="Times New Roman"/>
          <w:kern w:val="2"/>
          <w:sz w:val="32"/>
          <w:szCs w:val="32"/>
          <w:lang w:val="en-US" w:eastAsia="zh-CN" w:bidi="ar-SA"/>
        </w:rPr>
      </w:pPr>
      <w:r>
        <w:rPr>
          <w:rFonts w:hint="default" w:ascii="仿宋_GB2312" w:hAnsi="Times New Roman" w:eastAsia="仿宋_GB2312" w:cs="Times New Roman"/>
          <w:kern w:val="2"/>
          <w:sz w:val="32"/>
          <w:szCs w:val="32"/>
          <w:lang w:val="en-US" w:eastAsia="zh-CN" w:bidi="ar-SA"/>
        </w:rPr>
        <w:t>《关于全面推开县级公立医院综合改革的实施意见》（赣府厅发〔2015〕45号）</w:t>
      </w:r>
      <w:r>
        <w:rPr>
          <w:rFonts w:hint="eastAsia" w:ascii="仿宋_GB2312" w:hAnsi="Times New Roman" w:eastAsia="仿宋_GB2312" w:cs="Times New Roman"/>
          <w:kern w:val="2"/>
          <w:sz w:val="32"/>
          <w:szCs w:val="32"/>
          <w:lang w:val="en-US" w:eastAsia="zh-CN" w:bidi="ar-SA"/>
        </w:rPr>
        <w:t>；</w:t>
      </w:r>
    </w:p>
    <w:p>
      <w:pPr>
        <w:numPr>
          <w:ilvl w:val="0"/>
          <w:numId w:val="0"/>
        </w:num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《国务院办公厅关于印发全国医疗卫生服务体系规划纲要（2015-2020年）的通知》（国办发〔2015〕14号）</w:t>
      </w:r>
      <w:r>
        <w:rPr>
          <w:rFonts w:hint="eastAsia" w:ascii="仿宋_GB2312" w:hAnsi="仿宋_GB2312" w:eastAsia="仿宋_GB2312" w:cs="仿宋_GB2312"/>
          <w:sz w:val="32"/>
          <w:szCs w:val="32"/>
          <w:lang w:eastAsia="zh-CN"/>
        </w:rPr>
        <w:t>；</w:t>
      </w:r>
    </w:p>
    <w:p>
      <w:pPr>
        <w:numPr>
          <w:ilvl w:val="0"/>
          <w:numId w:val="0"/>
        </w:num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《关于县级公立医院综合改革试点工作岗位设置有关问题的通知》（赣人社字</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2013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91号）；</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《江西省人民政府办公厅关于全面推开县级公立医院综合改革的实施意见》（赣府厅发〔2015〕45号）。</w:t>
      </w:r>
    </w:p>
    <w:p>
      <w:pPr>
        <w:keepNext w:val="0"/>
        <w:keepLines w:val="0"/>
        <w:widowControl w:val="0"/>
        <w:numPr>
          <w:ilvl w:val="0"/>
          <w:numId w:val="1"/>
        </w:numPr>
        <w:suppressLineNumbers w:val="0"/>
        <w:spacing w:before="0" w:beforeAutospacing="0" w:after="0" w:afterAutospacing="0" w:line="560" w:lineRule="exact"/>
        <w:ind w:left="630" w:leftChars="0" w:right="0" w:firstLineChars="0"/>
        <w:jc w:val="both"/>
        <w:outlineLvl w:val="1"/>
        <w:rPr>
          <w:rFonts w:hint="eastAsia" w:ascii="黑体" w:hAnsi="宋体" w:eastAsia="黑体" w:cs="宋体"/>
          <w:bCs/>
          <w:kern w:val="2"/>
          <w:sz w:val="32"/>
          <w:szCs w:val="32"/>
          <w:lang w:val="en-US" w:eastAsia="zh-CN" w:bidi="ar"/>
        </w:rPr>
      </w:pPr>
      <w:bookmarkStart w:id="90" w:name="_Toc28476"/>
      <w:r>
        <w:rPr>
          <w:rFonts w:hint="eastAsia" w:ascii="黑体" w:hAnsi="宋体" w:eastAsia="黑体" w:cs="宋体"/>
          <w:bCs/>
          <w:kern w:val="2"/>
          <w:sz w:val="32"/>
          <w:szCs w:val="32"/>
          <w:lang w:val="en-US" w:eastAsia="zh-CN" w:bidi="ar"/>
        </w:rPr>
        <w:t>专项债资金情况</w:t>
      </w:r>
      <w:bookmarkEnd w:id="86"/>
      <w:bookmarkEnd w:id="87"/>
      <w:bookmarkEnd w:id="88"/>
      <w:bookmarkEnd w:id="90"/>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91" w:name="_Toc23904"/>
      <w:r>
        <w:rPr>
          <w:rFonts w:hint="eastAsia" w:ascii="楷体_GB2312" w:hAnsi="楷体_GB2312" w:eastAsia="楷体_GB2312" w:cs="楷体_GB2312"/>
          <w:sz w:val="32"/>
          <w:szCs w:val="32"/>
          <w:lang w:val="en-US" w:eastAsia="zh-CN"/>
        </w:rPr>
        <w:t>5.1、专项债发行主体资格</w:t>
      </w:r>
      <w:bookmarkEnd w:id="91"/>
    </w:p>
    <w:p>
      <w:pPr>
        <w:ind w:firstLine="640" w:firstLineChars="200"/>
        <w:rPr>
          <w:rFonts w:hint="eastAsia" w:ascii="仿宋_GB2312" w:hAnsi="Times New Roman" w:eastAsia="仿宋_GB2312" w:cs="Times New Roman"/>
          <w:kern w:val="2"/>
          <w:sz w:val="32"/>
          <w:szCs w:val="32"/>
          <w:lang w:val="en-US" w:eastAsia="zh-CN" w:bidi="ar-SA"/>
        </w:rPr>
      </w:pPr>
      <w:bookmarkStart w:id="92" w:name="_Toc2899"/>
      <w:bookmarkStart w:id="93" w:name="_Toc17806"/>
      <w:r>
        <w:rPr>
          <w:rFonts w:hint="eastAsia" w:ascii="仿宋_GB2312" w:hAnsi="Times New Roman" w:eastAsia="仿宋_GB2312" w:cs="Times New Roman"/>
          <w:kern w:val="2"/>
          <w:sz w:val="32"/>
          <w:szCs w:val="32"/>
          <w:lang w:val="en-US" w:eastAsia="zh-CN" w:bidi="ar-SA"/>
        </w:rPr>
        <w:t>根据《关于试点发展项目收益与融资自求平衡的地方政府专项债券品种的通知》（财预</w:t>
      </w:r>
      <w:r>
        <w:rPr>
          <w:rFonts w:hint="eastAsia" w:ascii="仿宋_GB2312" w:hAnsi="仿宋_GB2312" w:eastAsia="仿宋_GB2312" w:cs="仿宋_GB2312"/>
          <w:sz w:val="32"/>
          <w:szCs w:val="32"/>
          <w:lang w:val="en-US" w:eastAsia="zh-CN"/>
        </w:rPr>
        <w:t>〔</w:t>
      </w:r>
      <w:r>
        <w:rPr>
          <w:rFonts w:hint="eastAsia" w:ascii="仿宋_GB2312" w:hAnsi="Times New Roman" w:eastAsia="仿宋_GB2312" w:cs="Times New Roman"/>
          <w:kern w:val="2"/>
          <w:sz w:val="32"/>
          <w:szCs w:val="32"/>
          <w:lang w:val="en-US" w:eastAsia="zh-CN" w:bidi="ar-SA"/>
        </w:rPr>
        <w:t>2017</w:t>
      </w:r>
      <w:r>
        <w:rPr>
          <w:rFonts w:hint="eastAsia" w:ascii="仿宋_GB2312" w:hAnsi="仿宋_GB2312" w:eastAsia="仿宋_GB2312" w:cs="仿宋_GB2312"/>
          <w:sz w:val="32"/>
          <w:szCs w:val="32"/>
          <w:lang w:val="en-US" w:eastAsia="zh-CN"/>
        </w:rPr>
        <w:t>〕</w:t>
      </w:r>
      <w:r>
        <w:rPr>
          <w:rFonts w:hint="eastAsia" w:ascii="仿宋_GB2312" w:hAnsi="Times New Roman" w:eastAsia="仿宋_GB2312" w:cs="Times New Roman"/>
          <w:kern w:val="2"/>
          <w:sz w:val="32"/>
          <w:szCs w:val="32"/>
          <w:lang w:val="en-US" w:eastAsia="zh-CN" w:bidi="ar-SA"/>
        </w:rPr>
        <w:t>89号）之规定，地方政府专项债券需由江西省人民政府作为发行主体。本项目的实施机构为赣州蓉江新区社管局是依法批准设立的事业单位，具备事业单位法人资格，具有相应的民事权利能力和民事行为能</w:t>
      </w:r>
      <w:r>
        <w:rPr>
          <w:rFonts w:hint="eastAsia" w:ascii="仿宋_GB2312" w:hAnsi="Times New Roman" w:eastAsia="仿宋_GB2312" w:cs="Times New Roman"/>
          <w:kern w:val="2"/>
          <w:sz w:val="32"/>
          <w:szCs w:val="32"/>
          <w:highlight w:val="none"/>
          <w:lang w:val="en-US" w:eastAsia="zh-CN" w:bidi="ar-SA"/>
        </w:rPr>
        <w:t>力；项目业主为</w:t>
      </w:r>
      <w:r>
        <w:rPr>
          <w:rFonts w:hint="eastAsia" w:ascii="仿宋_GB2312" w:hAnsi="Times New Roman" w:eastAsia="仿宋_GB2312" w:cs="Times New Roman"/>
          <w:kern w:val="2"/>
          <w:sz w:val="32"/>
          <w:szCs w:val="32"/>
          <w:lang w:val="en-US" w:eastAsia="zh-CN" w:bidi="ar-SA"/>
        </w:rPr>
        <w:t>赣州蓉江新区基础设施建设投资管理有限公司</w:t>
      </w:r>
      <w:r>
        <w:rPr>
          <w:rFonts w:hint="eastAsia" w:ascii="仿宋_GB2312" w:hAnsi="Times New Roman" w:eastAsia="仿宋_GB2312" w:cs="Times New Roman"/>
          <w:kern w:val="2"/>
          <w:sz w:val="32"/>
          <w:szCs w:val="32"/>
          <w:highlight w:val="none"/>
          <w:lang w:val="en-US" w:eastAsia="zh-CN" w:bidi="ar-SA"/>
        </w:rPr>
        <w:t>,是</w:t>
      </w:r>
      <w:r>
        <w:rPr>
          <w:rFonts w:hint="eastAsia" w:ascii="仿宋_GB2312" w:hAnsi="Times New Roman" w:eastAsia="仿宋_GB2312" w:cs="Times New Roman"/>
          <w:kern w:val="2"/>
          <w:sz w:val="32"/>
          <w:szCs w:val="32"/>
          <w:lang w:val="en-US" w:eastAsia="zh-CN" w:bidi="ar-SA"/>
        </w:rPr>
        <w:t>依法批准设立的企业法人，具备作为项目业主的资格。</w:t>
      </w:r>
      <w:bookmarkEnd w:id="92"/>
      <w:bookmarkEnd w:id="93"/>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94" w:name="_Toc24546"/>
      <w:r>
        <w:rPr>
          <w:rFonts w:hint="eastAsia" w:ascii="楷体_GB2312" w:hAnsi="楷体_GB2312" w:eastAsia="楷体_GB2312" w:cs="楷体_GB2312"/>
          <w:sz w:val="32"/>
          <w:szCs w:val="32"/>
          <w:lang w:val="en-US" w:eastAsia="zh-CN"/>
        </w:rPr>
        <w:t>5.2、专项债发行计划</w:t>
      </w:r>
      <w:bookmarkEnd w:id="94"/>
    </w:p>
    <w:p>
      <w:pPr>
        <w:ind w:firstLine="640" w:firstLineChars="200"/>
        <w:rPr>
          <w:rFonts w:hint="default" w:ascii="仿宋_GB2312" w:hAnsi="Times New Roman" w:eastAsia="仿宋_GB2312" w:cs="Times New Roman"/>
          <w:kern w:val="2"/>
          <w:sz w:val="32"/>
          <w:szCs w:val="32"/>
          <w:highlight w:val="none"/>
          <w:lang w:val="en-US" w:eastAsia="zh-CN" w:bidi="ar-SA"/>
        </w:rPr>
      </w:pPr>
      <w:bookmarkStart w:id="95" w:name="_Toc3878"/>
      <w:bookmarkStart w:id="96" w:name="_Toc6200"/>
      <w:r>
        <w:rPr>
          <w:rFonts w:hint="eastAsia" w:ascii="仿宋_GB2312" w:hAnsi="Times New Roman" w:eastAsia="仿宋_GB2312" w:cs="Times New Roman"/>
          <w:kern w:val="2"/>
          <w:sz w:val="32"/>
          <w:szCs w:val="32"/>
          <w:lang w:val="en-US" w:eastAsia="zh-CN" w:bidi="ar-SA"/>
        </w:rPr>
        <w:t>专项债通过全国银行间债券市场、证券交易所债券市场发行。赣州蓉江新区惠民医院项目本期拟申请发行地方政府专项</w:t>
      </w:r>
      <w:r>
        <w:rPr>
          <w:rFonts w:hint="eastAsia" w:ascii="仿宋_GB2312" w:hAnsi="Times New Roman" w:eastAsia="仿宋_GB2312" w:cs="Times New Roman"/>
          <w:kern w:val="2"/>
          <w:sz w:val="32"/>
          <w:szCs w:val="32"/>
          <w:highlight w:val="none"/>
          <w:lang w:val="en-US" w:eastAsia="zh-CN" w:bidi="ar-SA"/>
        </w:rPr>
        <w:t>债券5900万元，期限15年，专项债券融资成本按3.25%（年利率）估算。计划发行时间为2022年6月28日，以后年度结合当年发债计划安排。</w:t>
      </w:r>
      <w:bookmarkEnd w:id="95"/>
      <w:bookmarkEnd w:id="96"/>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97" w:name="_Toc6512"/>
      <w:r>
        <w:rPr>
          <w:rFonts w:hint="eastAsia" w:ascii="楷体_GB2312" w:hAnsi="楷体_GB2312" w:eastAsia="楷体_GB2312" w:cs="楷体_GB2312"/>
          <w:sz w:val="32"/>
          <w:szCs w:val="32"/>
          <w:lang w:val="en-US" w:eastAsia="zh-CN"/>
        </w:rPr>
        <w:t>5.3、专项债资金到位情况</w:t>
      </w:r>
      <w:bookmarkEnd w:id="97"/>
    </w:p>
    <w:p>
      <w:pPr>
        <w:ind w:firstLine="640" w:firstLineChars="200"/>
        <w:rPr>
          <w:rFonts w:hint="eastAsia" w:ascii="仿宋_GB2312" w:hAnsi="Times New Roman" w:eastAsia="仿宋_GB2312" w:cs="Times New Roman"/>
          <w:kern w:val="2"/>
          <w:sz w:val="32"/>
          <w:szCs w:val="32"/>
          <w:lang w:val="en-US" w:eastAsia="zh-CN" w:bidi="ar-SA"/>
        </w:rPr>
      </w:pPr>
      <w:bookmarkStart w:id="98" w:name="_Toc5772"/>
      <w:r>
        <w:rPr>
          <w:rFonts w:hint="eastAsia" w:ascii="仿宋_GB2312" w:hAnsi="Times New Roman" w:eastAsia="仿宋_GB2312" w:cs="Times New Roman"/>
          <w:kern w:val="2"/>
          <w:sz w:val="32"/>
          <w:szCs w:val="32"/>
          <w:lang w:val="en-US" w:eastAsia="zh-CN" w:bidi="ar-SA"/>
        </w:rPr>
        <w:t>2022年7月5日区社管局将收到专项债资金5900万元转入建设单位赣州蓉江新区基础设施建设投资管理有限公司子公司赣州蓉江新区蓉盛工程管理有限公司（兴业银行，账号503010100100282246）。</w:t>
      </w:r>
      <w:bookmarkEnd w:id="98"/>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highlight w:val="none"/>
          <w:lang w:val="en-US" w:eastAsia="zh-CN"/>
        </w:rPr>
      </w:pPr>
      <w:bookmarkStart w:id="99" w:name="_Toc24218"/>
      <w:r>
        <w:rPr>
          <w:rFonts w:hint="eastAsia" w:ascii="楷体_GB2312" w:hAnsi="楷体_GB2312" w:eastAsia="楷体_GB2312" w:cs="楷体_GB2312"/>
          <w:sz w:val="32"/>
          <w:szCs w:val="32"/>
          <w:lang w:val="en-US" w:eastAsia="zh-CN"/>
        </w:rPr>
        <w:t>5.4、专项债资金具体支付方案</w:t>
      </w:r>
      <w:bookmarkEnd w:id="99"/>
    </w:p>
    <w:p>
      <w:pPr>
        <w:ind w:firstLine="640" w:firstLineChars="200"/>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施工单位中海建筑有限公司于2022年8月至2023年6月分八次向</w:t>
      </w:r>
      <w:r>
        <w:rPr>
          <w:rFonts w:hint="eastAsia" w:ascii="仿宋_GB2312" w:hAnsi="Times New Roman" w:eastAsia="仿宋_GB2312" w:cs="Times New Roman"/>
          <w:kern w:val="2"/>
          <w:sz w:val="32"/>
          <w:szCs w:val="32"/>
          <w:lang w:val="en-US" w:eastAsia="zh-CN" w:bidi="ar-SA"/>
        </w:rPr>
        <w:t>建设单位赣州蓉江新区基础设施建设投资管理有限公司提交工程款支付申请共计</w:t>
      </w:r>
      <w:r>
        <w:rPr>
          <w:rFonts w:hint="eastAsia" w:ascii="仿宋_GB2312" w:hAnsi="Times New Roman" w:eastAsia="仿宋_GB2312" w:cs="Times New Roman"/>
          <w:kern w:val="2"/>
          <w:sz w:val="32"/>
          <w:szCs w:val="32"/>
          <w:highlight w:val="none"/>
          <w:lang w:val="en-US" w:eastAsia="zh-CN" w:bidi="ar-SA"/>
        </w:rPr>
        <w:t>5873万元，该申请得到了</w:t>
      </w:r>
      <w:r>
        <w:rPr>
          <w:rFonts w:hint="eastAsia" w:ascii="仿宋_GB2312" w:hAnsi="Times New Roman" w:eastAsia="仿宋_GB2312" w:cs="Times New Roman"/>
          <w:kern w:val="2"/>
          <w:sz w:val="32"/>
          <w:szCs w:val="32"/>
          <w:lang w:val="en-US" w:eastAsia="zh-CN" w:bidi="ar-SA"/>
        </w:rPr>
        <w:t>建设单位赣州蓉江新区基础设施建设投资管理有限公司、区财政局及区管委会的同意（区社管局未提供银行转账凭证）。</w:t>
      </w:r>
      <w:r>
        <w:rPr>
          <w:rFonts w:hint="eastAsia" w:ascii="仿宋_GB2312" w:hAnsi="Times New Roman" w:eastAsia="仿宋_GB2312" w:cs="Times New Roman"/>
          <w:kern w:val="2"/>
          <w:sz w:val="32"/>
          <w:szCs w:val="32"/>
          <w:highlight w:val="none"/>
          <w:lang w:val="en-US" w:eastAsia="zh-CN" w:bidi="ar-SA"/>
        </w:rPr>
        <w:t>余27万元未支付（未达到验收支付条件）详见下表：</w:t>
      </w:r>
    </w:p>
    <w:p>
      <w:pPr>
        <w:ind w:firstLine="6080" w:firstLineChars="1900"/>
        <w:rPr>
          <w:rFonts w:hint="default"/>
          <w:highlight w:val="none"/>
          <w:lang w:val="en-US" w:eastAsia="zh-CN"/>
        </w:rPr>
      </w:pPr>
      <w:r>
        <w:rPr>
          <w:rFonts w:hint="eastAsia" w:ascii="仿宋_GB2312" w:hAnsi="Times New Roman" w:eastAsia="仿宋_GB2312" w:cs="Times New Roman"/>
          <w:kern w:val="2"/>
          <w:sz w:val="32"/>
          <w:szCs w:val="32"/>
          <w:highlight w:val="none"/>
          <w:lang w:val="en-US" w:eastAsia="zh-CN" w:bidi="ar-SA"/>
        </w:rPr>
        <w:t>单位（万元）</w:t>
      </w:r>
    </w:p>
    <w:tbl>
      <w:tblPr>
        <w:tblStyle w:val="17"/>
        <w:tblpPr w:leftFromText="180" w:rightFromText="180" w:vertAnchor="text" w:horzAnchor="page" w:tblpX="2060" w:tblpY="257"/>
        <w:tblOverlap w:val="never"/>
        <w:tblW w:w="8049" w:type="dxa"/>
        <w:tblInd w:w="0" w:type="dxa"/>
        <w:tblLayout w:type="fixed"/>
        <w:tblCellMar>
          <w:top w:w="0" w:type="dxa"/>
          <w:left w:w="108" w:type="dxa"/>
          <w:bottom w:w="0" w:type="dxa"/>
          <w:right w:w="108" w:type="dxa"/>
        </w:tblCellMar>
      </w:tblPr>
      <w:tblGrid>
        <w:gridCol w:w="2475"/>
        <w:gridCol w:w="2781"/>
        <w:gridCol w:w="2793"/>
      </w:tblGrid>
      <w:tr>
        <w:tblPrEx>
          <w:tblCellMar>
            <w:top w:w="0" w:type="dxa"/>
            <w:left w:w="108" w:type="dxa"/>
            <w:bottom w:w="0" w:type="dxa"/>
            <w:right w:w="108" w:type="dxa"/>
          </w:tblCellMar>
        </w:tblPrEx>
        <w:trPr>
          <w:trHeight w:val="380" w:hRule="atLeast"/>
          <w:tblHeader/>
        </w:trPr>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640" w:firstLineChars="200"/>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日期</w:t>
            </w:r>
          </w:p>
        </w:tc>
        <w:tc>
          <w:tcPr>
            <w:tcW w:w="278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960" w:firstLineChars="300"/>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金额</w:t>
            </w:r>
          </w:p>
        </w:tc>
        <w:tc>
          <w:tcPr>
            <w:tcW w:w="2793"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960" w:firstLineChars="300"/>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摘要</w:t>
            </w:r>
          </w:p>
        </w:tc>
      </w:tr>
      <w:tr>
        <w:tblPrEx>
          <w:tblCellMar>
            <w:top w:w="0" w:type="dxa"/>
            <w:left w:w="108" w:type="dxa"/>
            <w:bottom w:w="0" w:type="dxa"/>
            <w:right w:w="108" w:type="dxa"/>
          </w:tblCellMar>
        </w:tblPrEx>
        <w:trPr>
          <w:trHeight w:val="530" w:hRule="atLeast"/>
        </w:trPr>
        <w:tc>
          <w:tcPr>
            <w:tcW w:w="247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ind w:firstLine="640" w:firstLineChars="200"/>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2022.08</w:t>
            </w:r>
          </w:p>
        </w:tc>
        <w:tc>
          <w:tcPr>
            <w:tcW w:w="278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960" w:firstLineChars="300"/>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479</w:t>
            </w:r>
          </w:p>
        </w:tc>
        <w:tc>
          <w:tcPr>
            <w:tcW w:w="2793"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640" w:firstLineChars="200"/>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工程款</w:t>
            </w:r>
          </w:p>
        </w:tc>
      </w:tr>
      <w:tr>
        <w:tblPrEx>
          <w:tblCellMar>
            <w:top w:w="0" w:type="dxa"/>
            <w:left w:w="108" w:type="dxa"/>
            <w:bottom w:w="0" w:type="dxa"/>
            <w:right w:w="108" w:type="dxa"/>
          </w:tblCellMar>
        </w:tblPrEx>
        <w:trPr>
          <w:trHeight w:val="500" w:hRule="atLeast"/>
        </w:trPr>
        <w:tc>
          <w:tcPr>
            <w:tcW w:w="247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ind w:firstLine="640" w:firstLineChars="200"/>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2022.10</w:t>
            </w:r>
          </w:p>
        </w:tc>
        <w:tc>
          <w:tcPr>
            <w:tcW w:w="278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960" w:firstLineChars="300"/>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198</w:t>
            </w:r>
          </w:p>
        </w:tc>
        <w:tc>
          <w:tcPr>
            <w:tcW w:w="2793"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640" w:firstLineChars="200"/>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工程款</w:t>
            </w:r>
          </w:p>
        </w:tc>
      </w:tr>
      <w:tr>
        <w:tblPrEx>
          <w:tblCellMar>
            <w:top w:w="0" w:type="dxa"/>
            <w:left w:w="108" w:type="dxa"/>
            <w:bottom w:w="0" w:type="dxa"/>
            <w:right w:w="108" w:type="dxa"/>
          </w:tblCellMar>
        </w:tblPrEx>
        <w:trPr>
          <w:trHeight w:val="500" w:hRule="atLeast"/>
        </w:trPr>
        <w:tc>
          <w:tcPr>
            <w:tcW w:w="247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ind w:firstLine="640" w:firstLineChars="200"/>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2022.10</w:t>
            </w:r>
          </w:p>
        </w:tc>
        <w:tc>
          <w:tcPr>
            <w:tcW w:w="278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960" w:firstLineChars="300"/>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367</w:t>
            </w:r>
          </w:p>
        </w:tc>
        <w:tc>
          <w:tcPr>
            <w:tcW w:w="2793"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640" w:firstLineChars="200"/>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工程款</w:t>
            </w:r>
          </w:p>
        </w:tc>
      </w:tr>
      <w:tr>
        <w:tblPrEx>
          <w:tblCellMar>
            <w:top w:w="0" w:type="dxa"/>
            <w:left w:w="108" w:type="dxa"/>
            <w:bottom w:w="0" w:type="dxa"/>
            <w:right w:w="108" w:type="dxa"/>
          </w:tblCellMar>
        </w:tblPrEx>
        <w:trPr>
          <w:trHeight w:val="500" w:hRule="atLeast"/>
        </w:trPr>
        <w:tc>
          <w:tcPr>
            <w:tcW w:w="247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ind w:firstLine="640" w:firstLineChars="200"/>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2022.11</w:t>
            </w:r>
          </w:p>
        </w:tc>
        <w:tc>
          <w:tcPr>
            <w:tcW w:w="278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960" w:firstLineChars="300"/>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919</w:t>
            </w:r>
          </w:p>
        </w:tc>
        <w:tc>
          <w:tcPr>
            <w:tcW w:w="2793"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640" w:firstLineChars="200"/>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工程款</w:t>
            </w:r>
          </w:p>
        </w:tc>
      </w:tr>
      <w:tr>
        <w:tblPrEx>
          <w:tblCellMar>
            <w:top w:w="0" w:type="dxa"/>
            <w:left w:w="108" w:type="dxa"/>
            <w:bottom w:w="0" w:type="dxa"/>
            <w:right w:w="108" w:type="dxa"/>
          </w:tblCellMar>
        </w:tblPrEx>
        <w:trPr>
          <w:trHeight w:val="500" w:hRule="atLeast"/>
        </w:trPr>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640" w:firstLineChars="200"/>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2022.12</w:t>
            </w:r>
          </w:p>
        </w:tc>
        <w:tc>
          <w:tcPr>
            <w:tcW w:w="278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960" w:firstLineChars="300"/>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2695</w:t>
            </w:r>
          </w:p>
        </w:tc>
        <w:tc>
          <w:tcPr>
            <w:tcW w:w="2793"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640" w:firstLineChars="200"/>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工程款</w:t>
            </w:r>
          </w:p>
        </w:tc>
      </w:tr>
      <w:tr>
        <w:tblPrEx>
          <w:tblCellMar>
            <w:top w:w="0" w:type="dxa"/>
            <w:left w:w="108" w:type="dxa"/>
            <w:bottom w:w="0" w:type="dxa"/>
            <w:right w:w="108" w:type="dxa"/>
          </w:tblCellMar>
        </w:tblPrEx>
        <w:trPr>
          <w:trHeight w:val="500" w:hRule="atLeast"/>
        </w:trPr>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640" w:firstLineChars="200"/>
              <w:rPr>
                <w:rFonts w:hint="default" w:ascii="仿宋_GB2312" w:hAnsi="Times New Roman" w:eastAsia="仿宋_GB2312" w:cs="Times New Roman"/>
                <w:kern w:val="2"/>
                <w:sz w:val="32"/>
                <w:szCs w:val="32"/>
                <w:highlight w:val="none"/>
                <w:lang w:val="en-US" w:eastAsia="zh-CN" w:bidi="ar-SA"/>
              </w:rPr>
            </w:pPr>
            <w:bookmarkStart w:id="100" w:name="_Toc10350"/>
            <w:bookmarkStart w:id="101" w:name="_Toc3276"/>
            <w:bookmarkStart w:id="102" w:name="_Toc7105"/>
            <w:r>
              <w:rPr>
                <w:rFonts w:hint="eastAsia" w:ascii="仿宋_GB2312" w:hAnsi="Times New Roman" w:eastAsia="仿宋_GB2312" w:cs="Times New Roman"/>
                <w:kern w:val="2"/>
                <w:sz w:val="32"/>
                <w:szCs w:val="32"/>
                <w:highlight w:val="none"/>
                <w:lang w:val="en-US" w:eastAsia="zh-CN" w:bidi="ar-SA"/>
              </w:rPr>
              <w:t>2023.04</w:t>
            </w:r>
          </w:p>
        </w:tc>
        <w:tc>
          <w:tcPr>
            <w:tcW w:w="278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960" w:firstLineChars="300"/>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261</w:t>
            </w:r>
          </w:p>
        </w:tc>
        <w:tc>
          <w:tcPr>
            <w:tcW w:w="2793"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640" w:firstLineChars="200"/>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工程款</w:t>
            </w:r>
          </w:p>
        </w:tc>
      </w:tr>
      <w:tr>
        <w:tblPrEx>
          <w:tblCellMar>
            <w:top w:w="0" w:type="dxa"/>
            <w:left w:w="108" w:type="dxa"/>
            <w:bottom w:w="0" w:type="dxa"/>
            <w:right w:w="108" w:type="dxa"/>
          </w:tblCellMar>
        </w:tblPrEx>
        <w:trPr>
          <w:trHeight w:val="500" w:hRule="atLeast"/>
        </w:trPr>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640" w:firstLineChars="200"/>
              <w:rPr>
                <w:rFonts w:hint="default" w:ascii="仿宋_GB2312" w:hAnsi="Times New Roman" w:eastAsia="仿宋_GB2312" w:cs="Times New Roman"/>
                <w:kern w:val="2"/>
                <w:sz w:val="32"/>
                <w:szCs w:val="32"/>
                <w:highlight w:val="none"/>
                <w:lang w:val="en-US" w:eastAsia="zh-CN" w:bidi="ar-SA"/>
              </w:rPr>
            </w:pPr>
            <w:bookmarkStart w:id="103" w:name="_Toc17211"/>
            <w:r>
              <w:rPr>
                <w:rFonts w:hint="eastAsia" w:ascii="仿宋_GB2312" w:hAnsi="Times New Roman" w:eastAsia="仿宋_GB2312" w:cs="Times New Roman"/>
                <w:kern w:val="2"/>
                <w:sz w:val="32"/>
                <w:szCs w:val="32"/>
                <w:highlight w:val="none"/>
                <w:lang w:val="en-US" w:eastAsia="zh-CN" w:bidi="ar-SA"/>
              </w:rPr>
              <w:t>2023.04</w:t>
            </w:r>
          </w:p>
        </w:tc>
        <w:tc>
          <w:tcPr>
            <w:tcW w:w="278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960" w:firstLineChars="300"/>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331</w:t>
            </w:r>
          </w:p>
        </w:tc>
        <w:tc>
          <w:tcPr>
            <w:tcW w:w="2793"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640" w:firstLineChars="200"/>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工程款</w:t>
            </w:r>
          </w:p>
        </w:tc>
      </w:tr>
      <w:tr>
        <w:tblPrEx>
          <w:tblCellMar>
            <w:top w:w="0" w:type="dxa"/>
            <w:left w:w="108" w:type="dxa"/>
            <w:bottom w:w="0" w:type="dxa"/>
            <w:right w:w="108" w:type="dxa"/>
          </w:tblCellMar>
        </w:tblPrEx>
        <w:trPr>
          <w:trHeight w:val="500" w:hRule="atLeast"/>
        </w:trPr>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640" w:firstLineChars="200"/>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2023.06</w:t>
            </w:r>
          </w:p>
        </w:tc>
        <w:tc>
          <w:tcPr>
            <w:tcW w:w="278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960" w:firstLineChars="300"/>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623</w:t>
            </w:r>
          </w:p>
        </w:tc>
        <w:tc>
          <w:tcPr>
            <w:tcW w:w="2793"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640" w:firstLineChars="200"/>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工程款</w:t>
            </w:r>
          </w:p>
        </w:tc>
      </w:tr>
      <w:tr>
        <w:tblPrEx>
          <w:tblCellMar>
            <w:top w:w="0" w:type="dxa"/>
            <w:left w:w="108" w:type="dxa"/>
            <w:bottom w:w="0" w:type="dxa"/>
            <w:right w:w="108" w:type="dxa"/>
          </w:tblCellMar>
        </w:tblPrEx>
        <w:trPr>
          <w:trHeight w:val="500" w:hRule="atLeast"/>
        </w:trPr>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640" w:firstLineChars="200"/>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合计</w:t>
            </w:r>
          </w:p>
        </w:tc>
        <w:tc>
          <w:tcPr>
            <w:tcW w:w="278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960" w:firstLineChars="300"/>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fldChar w:fldCharType="begin"/>
            </w:r>
            <w:r>
              <w:rPr>
                <w:rFonts w:hint="eastAsia" w:ascii="仿宋_GB2312" w:hAnsi="Times New Roman" w:eastAsia="仿宋_GB2312" w:cs="Times New Roman"/>
                <w:kern w:val="2"/>
                <w:sz w:val="32"/>
                <w:szCs w:val="32"/>
                <w:highlight w:val="none"/>
                <w:lang w:val="en-US" w:eastAsia="zh-CN" w:bidi="ar-SA"/>
              </w:rPr>
              <w:instrText xml:space="preserve"> = sum(B2:B9) \* MERGEFORMAT </w:instrText>
            </w:r>
            <w:r>
              <w:rPr>
                <w:rFonts w:hint="eastAsia" w:ascii="仿宋_GB2312" w:hAnsi="Times New Roman" w:eastAsia="仿宋_GB2312" w:cs="Times New Roman"/>
                <w:kern w:val="2"/>
                <w:sz w:val="32"/>
                <w:szCs w:val="32"/>
                <w:highlight w:val="none"/>
                <w:lang w:val="en-US" w:eastAsia="zh-CN" w:bidi="ar-SA"/>
              </w:rPr>
              <w:fldChar w:fldCharType="separate"/>
            </w:r>
            <w:r>
              <w:rPr>
                <w:rFonts w:hint="eastAsia" w:ascii="仿宋_GB2312" w:hAnsi="Times New Roman" w:eastAsia="仿宋_GB2312" w:cs="Times New Roman"/>
                <w:kern w:val="2"/>
                <w:sz w:val="32"/>
                <w:szCs w:val="32"/>
                <w:highlight w:val="none"/>
                <w:lang w:val="en-US" w:eastAsia="zh-CN" w:bidi="ar-SA"/>
              </w:rPr>
              <w:t>5873</w:t>
            </w:r>
            <w:r>
              <w:rPr>
                <w:rFonts w:hint="eastAsia" w:ascii="仿宋_GB2312" w:hAnsi="Times New Roman" w:eastAsia="仿宋_GB2312" w:cs="Times New Roman"/>
                <w:kern w:val="2"/>
                <w:sz w:val="32"/>
                <w:szCs w:val="32"/>
                <w:highlight w:val="none"/>
                <w:lang w:val="en-US" w:eastAsia="zh-CN" w:bidi="ar-SA"/>
              </w:rPr>
              <w:fldChar w:fldCharType="end"/>
            </w:r>
          </w:p>
        </w:tc>
        <w:tc>
          <w:tcPr>
            <w:tcW w:w="2793"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640" w:firstLineChars="200"/>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工程款</w:t>
            </w:r>
          </w:p>
        </w:tc>
      </w:tr>
    </w:tbl>
    <w:p>
      <w:pPr>
        <w:keepNext w:val="0"/>
        <w:keepLines w:val="0"/>
        <w:widowControl w:val="0"/>
        <w:suppressLineNumbers w:val="0"/>
        <w:spacing w:before="0" w:beforeAutospacing="0" w:after="0" w:afterAutospacing="0" w:line="560" w:lineRule="exact"/>
        <w:ind w:left="0" w:right="0"/>
        <w:jc w:val="both"/>
        <w:outlineLvl w:val="1"/>
        <w:rPr>
          <w:rFonts w:hint="default" w:ascii="黑体" w:hAnsi="宋体" w:eastAsia="黑体" w:cs="宋体"/>
          <w:bCs/>
          <w:kern w:val="2"/>
          <w:sz w:val="32"/>
          <w:szCs w:val="32"/>
          <w:highlight w:val="none"/>
          <w:lang w:val="en-US" w:eastAsia="zh-CN" w:bidi="ar"/>
        </w:rPr>
      </w:pPr>
      <w:r>
        <w:rPr>
          <w:rFonts w:hint="eastAsia" w:ascii="黑体" w:hAnsi="宋体" w:eastAsia="黑体" w:cs="宋体"/>
          <w:bCs/>
          <w:kern w:val="2"/>
          <w:sz w:val="32"/>
          <w:szCs w:val="32"/>
          <w:highlight w:val="none"/>
          <w:lang w:val="en-US" w:eastAsia="zh-CN" w:bidi="ar"/>
        </w:rPr>
        <w:t>六、项目</w:t>
      </w:r>
      <w:bookmarkEnd w:id="100"/>
      <w:bookmarkEnd w:id="101"/>
      <w:bookmarkEnd w:id="102"/>
      <w:r>
        <w:rPr>
          <w:rFonts w:hint="eastAsia" w:ascii="黑体" w:hAnsi="宋体" w:eastAsia="黑体" w:cs="宋体"/>
          <w:bCs/>
          <w:kern w:val="2"/>
          <w:sz w:val="32"/>
          <w:szCs w:val="32"/>
          <w:highlight w:val="none"/>
          <w:lang w:val="en-US" w:eastAsia="zh-CN" w:bidi="ar"/>
        </w:rPr>
        <w:t>绩效总目标</w:t>
      </w:r>
      <w:bookmarkEnd w:id="103"/>
    </w:p>
    <w:p>
      <w:pPr>
        <w:keepNext w:val="0"/>
        <w:keepLines w:val="0"/>
        <w:widowControl w:val="0"/>
        <w:suppressLineNumbers w:val="0"/>
        <w:spacing w:before="0" w:beforeAutospacing="0" w:after="0" w:afterAutospacing="0" w:line="560" w:lineRule="exact"/>
        <w:ind w:left="0" w:right="0" w:firstLine="640" w:firstLineChars="200"/>
        <w:jc w:val="both"/>
        <w:outlineLvl w:val="1"/>
        <w:rPr>
          <w:rFonts w:hint="default" w:ascii="仿宋_GB2312" w:hAnsi="Times New Roman" w:eastAsia="仿宋_GB2312" w:cs="Times New Roman"/>
          <w:kern w:val="2"/>
          <w:sz w:val="32"/>
          <w:szCs w:val="32"/>
          <w:highlight w:val="none"/>
          <w:lang w:val="en-US" w:eastAsia="zh-CN" w:bidi="ar-SA"/>
        </w:rPr>
      </w:pPr>
      <w:bookmarkStart w:id="104" w:name="_Toc22216"/>
      <w:bookmarkStart w:id="105" w:name="_Toc11818"/>
      <w:bookmarkStart w:id="106" w:name="_Toc3029"/>
      <w:bookmarkStart w:id="107" w:name="_Toc23027"/>
      <w:r>
        <w:rPr>
          <w:rFonts w:hint="eastAsia" w:ascii="仿宋_GB2312" w:hAnsi="Times New Roman" w:eastAsia="仿宋_GB2312" w:cs="Times New Roman"/>
          <w:kern w:val="2"/>
          <w:sz w:val="32"/>
          <w:szCs w:val="32"/>
          <w:highlight w:val="none"/>
          <w:lang w:val="en-US" w:eastAsia="zh-CN" w:bidi="ar-SA"/>
        </w:rPr>
        <w:t>坚持公立医院公益性的基本定位，落实政府领导、保障、管理、监督四项责任，充分发挥市场机制作用，建立维护公益性、调动积极性、保障可持续的运行新机制。在全省所有县（市）的县级公立医院（包括由县级人民政府举办的人民医院、中医医院、妇幼保健院以及其他公立医院）破除以药补医，以管理体制、运行机制、服务价格调整、人事薪酬、医保支付等为重点，全面推开县级公立医院综合改革。建立现代医院基本管理制度，县域医疗卫生服务体系进一步完善，县级公立医院看大病、解难症水平明显提升，基本实现大病不出县，努力让群众就地就医。解决赣州蓉江新区目前无二级及以上公立医疗机构的现状，切实提高全区医疗服务水平。</w:t>
      </w:r>
    </w:p>
    <w:p>
      <w:pPr>
        <w:keepNext w:val="0"/>
        <w:keepLines w:val="0"/>
        <w:widowControl w:val="0"/>
        <w:suppressLineNumbers w:val="0"/>
        <w:spacing w:before="0" w:beforeAutospacing="0" w:after="0" w:afterAutospacing="0" w:line="560" w:lineRule="exact"/>
        <w:ind w:left="0" w:right="0" w:firstLine="640" w:firstLineChars="200"/>
        <w:jc w:val="both"/>
        <w:outlineLvl w:val="1"/>
        <w:rPr>
          <w:rFonts w:hint="eastAsia" w:ascii="黑体" w:hAnsi="宋体" w:eastAsia="黑体" w:cs="宋体"/>
          <w:bCs/>
          <w:kern w:val="2"/>
          <w:sz w:val="32"/>
          <w:szCs w:val="32"/>
          <w:highlight w:val="none"/>
          <w:lang w:val="en-US" w:eastAsia="zh-CN" w:bidi="ar"/>
        </w:rPr>
      </w:pPr>
      <w:r>
        <w:rPr>
          <w:rFonts w:hint="eastAsia" w:ascii="黑体" w:hAnsi="宋体" w:eastAsia="黑体" w:cs="宋体"/>
          <w:bCs/>
          <w:kern w:val="2"/>
          <w:sz w:val="32"/>
          <w:szCs w:val="32"/>
          <w:highlight w:val="none"/>
          <w:lang w:val="en-US" w:eastAsia="zh-CN" w:bidi="ar"/>
        </w:rPr>
        <w:t>七、项目风险评估及控制措施</w:t>
      </w:r>
      <w:bookmarkEnd w:id="104"/>
      <w:bookmarkEnd w:id="105"/>
      <w:bookmarkEnd w:id="106"/>
      <w:bookmarkEnd w:id="107"/>
    </w:p>
    <w:p>
      <w:pPr>
        <w:ind w:firstLine="640" w:firstLineChars="200"/>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风险识别和分析该项目从立项、拆迁和建设过程中不可避免地要受到众多不确定因素的影响，对该项目的投资、质量、进度和安全等工程目标带来达不到预期目标的可能性，另外该项目投资较大，因此，需对各种风险有足够的估计，以便采取相应的对策。本次仅对5900万专项债进行风险评估。</w:t>
      </w:r>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highlight w:val="none"/>
          <w:lang w:val="en-US" w:eastAsia="zh-CN"/>
        </w:rPr>
      </w:pPr>
      <w:bookmarkStart w:id="108" w:name="_Toc16506"/>
      <w:bookmarkStart w:id="109" w:name="_Toc30039"/>
      <w:bookmarkStart w:id="110" w:name="_Toc32427"/>
      <w:r>
        <w:rPr>
          <w:rFonts w:hint="eastAsia" w:ascii="楷体_GB2312" w:hAnsi="楷体_GB2312" w:eastAsia="楷体_GB2312" w:cs="楷体_GB2312"/>
          <w:sz w:val="32"/>
          <w:szCs w:val="32"/>
          <w:highlight w:val="none"/>
          <w:lang w:val="en-US" w:eastAsia="zh-CN"/>
        </w:rPr>
        <w:t>7.1、资金筹措风险</w:t>
      </w:r>
      <w:bookmarkEnd w:id="108"/>
      <w:bookmarkEnd w:id="109"/>
      <w:bookmarkEnd w:id="110"/>
    </w:p>
    <w:p>
      <w:pPr>
        <w:ind w:firstLine="640" w:firstLineChars="200"/>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该项目对资金的需求较大，项目建设对金融业有较高程度的依赖。若金融企业进行业务调整，改变对项目及关联行业的贷款政策，将会极大影响项目进度。该项目资金来源部分为发行政府债券（5900万元）及本区自筹资金。若自筹资金及发行政府债券不能按时到位，将极大影响项目建设，失去本轮发展机遇。因此，项目存在资金筹措风险。</w:t>
      </w:r>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highlight w:val="none"/>
          <w:lang w:val="en-US" w:eastAsia="zh-CN"/>
        </w:rPr>
      </w:pPr>
      <w:bookmarkStart w:id="111" w:name="_Toc10258"/>
      <w:bookmarkStart w:id="112" w:name="_Toc20624"/>
      <w:bookmarkStart w:id="113" w:name="_Toc22121"/>
      <w:r>
        <w:rPr>
          <w:rFonts w:hint="eastAsia" w:ascii="楷体_GB2312" w:hAnsi="楷体_GB2312" w:eastAsia="楷体_GB2312" w:cs="楷体_GB2312"/>
          <w:sz w:val="32"/>
          <w:szCs w:val="32"/>
          <w:highlight w:val="none"/>
          <w:lang w:val="en-US" w:eastAsia="zh-CN"/>
        </w:rPr>
        <w:t>7.2、资金管理风险</w:t>
      </w:r>
      <w:bookmarkEnd w:id="111"/>
      <w:bookmarkEnd w:id="112"/>
      <w:bookmarkEnd w:id="113"/>
    </w:p>
    <w:p>
      <w:pPr>
        <w:ind w:firstLine="640" w:firstLineChars="200"/>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该项目资金支出较大，可能存在虽有设置相关的监管机制和岗位，但因种种原因这些制度和岗位流于形式或者形同虚设或者作用十分有限，可能出现擅自改变用途，用于偿还债务、支付利息、用于单位工作经费、发放工资等非本项目支出。工程款拨付额度计算错误，导致工程款支付错误，不执行大额资金联签制度，个人决定资金拨付额度。未依据概算、计算、合同、验收计价和资金预算支付建设资金。</w:t>
      </w:r>
    </w:p>
    <w:p>
      <w:pPr>
        <w:keepNext w:val="0"/>
        <w:keepLines w:val="0"/>
        <w:widowControl w:val="0"/>
        <w:suppressLineNumbers w:val="0"/>
        <w:spacing w:before="0" w:beforeAutospacing="0" w:after="0" w:afterAutospacing="0" w:line="560" w:lineRule="exact"/>
        <w:ind w:left="0" w:right="0"/>
        <w:jc w:val="both"/>
        <w:outlineLvl w:val="1"/>
        <w:rPr>
          <w:rFonts w:hint="eastAsia" w:ascii="黑体" w:hAnsi="宋体" w:eastAsia="黑体" w:cs="宋体"/>
          <w:bCs/>
          <w:kern w:val="2"/>
          <w:sz w:val="32"/>
          <w:szCs w:val="32"/>
          <w:highlight w:val="none"/>
          <w:lang w:val="en-US" w:eastAsia="zh-CN" w:bidi="ar"/>
        </w:rPr>
      </w:pPr>
      <w:bookmarkStart w:id="114" w:name="_Toc25654"/>
      <w:bookmarkStart w:id="115" w:name="_Toc20601"/>
      <w:bookmarkStart w:id="116" w:name="_Toc4756"/>
      <w:bookmarkStart w:id="117" w:name="_Toc14481"/>
      <w:r>
        <w:rPr>
          <w:rFonts w:hint="eastAsia" w:ascii="黑体" w:hAnsi="宋体" w:eastAsia="黑体" w:cs="宋体"/>
          <w:bCs/>
          <w:kern w:val="2"/>
          <w:sz w:val="32"/>
          <w:szCs w:val="32"/>
          <w:highlight w:val="none"/>
          <w:lang w:val="en-US" w:eastAsia="zh-CN" w:bidi="ar"/>
        </w:rPr>
        <w:t>八、风险应对措施</w:t>
      </w:r>
      <w:bookmarkEnd w:id="114"/>
      <w:bookmarkEnd w:id="115"/>
      <w:bookmarkEnd w:id="116"/>
      <w:bookmarkEnd w:id="117"/>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highlight w:val="none"/>
          <w:lang w:val="en-US" w:eastAsia="zh-CN"/>
        </w:rPr>
      </w:pPr>
      <w:bookmarkStart w:id="118" w:name="_Toc810"/>
      <w:bookmarkStart w:id="119" w:name="_Toc24495"/>
      <w:bookmarkStart w:id="120" w:name="_Toc32443"/>
      <w:r>
        <w:rPr>
          <w:rFonts w:hint="eastAsia" w:ascii="楷体_GB2312" w:hAnsi="楷体_GB2312" w:eastAsia="楷体_GB2312" w:cs="楷体_GB2312"/>
          <w:sz w:val="32"/>
          <w:szCs w:val="32"/>
          <w:highlight w:val="none"/>
          <w:lang w:val="en-US" w:eastAsia="zh-CN"/>
        </w:rPr>
        <w:t>8.1、资金筹措风险应对措施</w:t>
      </w:r>
      <w:bookmarkEnd w:id="118"/>
      <w:bookmarkEnd w:id="119"/>
      <w:bookmarkEnd w:id="120"/>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针对项目筹资风险，该项目采取如下措施:</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①承办单位须配置必要的预防资金，保证项目在发生较大变化的情况下能够迅速投入资金以使项目正常进行。</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②进一步加强与金融机构的合作。根据项目进展情况，积极与相关金融机构沟通。</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③将资产负债率控制在合理水平，若遇到特殊情况可采用适当增加资产负债率来筹措建设资金，保证项目的如期建成。</w:t>
      </w:r>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121" w:name="_Toc32025"/>
      <w:bookmarkStart w:id="122" w:name="_Toc21595"/>
      <w:bookmarkStart w:id="123" w:name="_Toc14990"/>
      <w:r>
        <w:rPr>
          <w:rFonts w:hint="eastAsia" w:ascii="楷体_GB2312" w:hAnsi="楷体_GB2312" w:eastAsia="楷体_GB2312" w:cs="楷体_GB2312"/>
          <w:sz w:val="32"/>
          <w:szCs w:val="32"/>
          <w:lang w:val="en-US" w:eastAsia="zh-CN"/>
        </w:rPr>
        <w:t>8.2、资金管理风险应对措施</w:t>
      </w:r>
      <w:bookmarkEnd w:id="121"/>
      <w:bookmarkEnd w:id="122"/>
      <w:bookmarkEnd w:id="123"/>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严格按照一般债券纳入一般公共预算管理、专项债纳入政府性基金预算管理的要求，确保债券资金专款专用、专账核算。严格按照债券发行信息披露约定的用途使用资金。加强对资金账户的监督检查。建设单位将监管施工单位资金流向的要求、内容和方法等纳入招标文件和施工合同中。严格按照财务制度和合同约定的验收计价、工程进度等确定资金拨付额度，严格执行“三重一大”事项集体决策制度，大额资金使用必须实行联签制度。严格资金拨付手续，严格执行建设资金决策、拨付程序，严格执行财务管理制度，强化财务人员内部监督建立互控机制，延伸检查施工单位的资金使用。</w:t>
      </w:r>
    </w:p>
    <w:p>
      <w:pPr>
        <w:rPr>
          <w:rFonts w:hint="eastAsia" w:ascii="黑体" w:hAnsi="宋体" w:eastAsia="黑体" w:cs="宋体"/>
          <w:bCs/>
          <w:kern w:val="2"/>
          <w:sz w:val="32"/>
          <w:szCs w:val="32"/>
          <w:lang w:val="en-US" w:eastAsia="zh-CN" w:bidi="ar"/>
        </w:rPr>
      </w:pPr>
      <w:bookmarkStart w:id="124" w:name="_Toc25105"/>
      <w:r>
        <w:rPr>
          <w:rFonts w:hint="eastAsia" w:ascii="黑体" w:hAnsi="宋体" w:eastAsia="黑体" w:cs="宋体"/>
          <w:bCs/>
          <w:kern w:val="2"/>
          <w:sz w:val="32"/>
          <w:szCs w:val="32"/>
          <w:lang w:val="en-US" w:eastAsia="zh-CN" w:bidi="ar"/>
        </w:rPr>
        <w:br w:type="page"/>
      </w:r>
    </w:p>
    <w:p>
      <w:pPr>
        <w:keepNext w:val="0"/>
        <w:keepLines w:val="0"/>
        <w:widowControl w:val="0"/>
        <w:suppressLineNumbers w:val="0"/>
        <w:spacing w:before="0" w:beforeAutospacing="0" w:after="0" w:afterAutospacing="0" w:line="560" w:lineRule="exact"/>
        <w:ind w:left="0" w:right="0"/>
        <w:jc w:val="both"/>
        <w:outlineLvl w:val="1"/>
        <w:rPr>
          <w:rFonts w:hint="eastAsia" w:ascii="黑体" w:hAnsi="宋体" w:eastAsia="黑体" w:cs="宋体"/>
          <w:bCs/>
          <w:kern w:val="2"/>
          <w:sz w:val="32"/>
          <w:szCs w:val="32"/>
          <w:lang w:val="en-US" w:eastAsia="zh-CN" w:bidi="ar"/>
        </w:rPr>
      </w:pPr>
      <w:r>
        <w:rPr>
          <w:rFonts w:hint="eastAsia" w:ascii="黑体" w:hAnsi="宋体" w:eastAsia="黑体" w:cs="宋体"/>
          <w:bCs/>
          <w:kern w:val="2"/>
          <w:sz w:val="32"/>
          <w:szCs w:val="32"/>
          <w:lang w:val="en-US" w:eastAsia="zh-CN" w:bidi="ar"/>
        </w:rPr>
        <w:t>九、评价结论</w:t>
      </w:r>
      <w:bookmarkEnd w:id="124"/>
    </w:p>
    <w:p>
      <w:pPr>
        <w:ind w:firstLine="640" w:firstLineChars="200"/>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lang w:val="en-US" w:eastAsia="zh-CN" w:bidi="ar-SA"/>
        </w:rPr>
        <w:t>本次评价在资料查阅、现场调研及访谈基础上，对惠民医院</w:t>
      </w:r>
      <w:r>
        <w:rPr>
          <w:rFonts w:hint="eastAsia" w:ascii="仿宋_GB2312" w:hAnsi="Times New Roman" w:eastAsia="仿宋_GB2312" w:cs="Times New Roman"/>
          <w:kern w:val="2"/>
          <w:sz w:val="32"/>
          <w:szCs w:val="32"/>
          <w:highlight w:val="none"/>
          <w:lang w:val="en-US" w:eastAsia="zh-CN" w:bidi="ar-SA"/>
        </w:rPr>
        <w:t>项目从、过程、产出、效益及满意度四方面进行逐项打分、客观评价。总分一般设置为100分，等级一般划分为四档:90（含）-100分为优、80（含）-90分为良、60（含）-80分为中、60分以下为差。本项目绩效评级为“良”。</w:t>
      </w:r>
    </w:p>
    <w:p>
      <w:pPr>
        <w:ind w:firstLine="640" w:firstLineChars="200"/>
        <w:rPr>
          <w:rFonts w:hint="eastAsia" w:cs="楷体_GB2312" w:asciiTheme="minorEastAsia" w:hAnsiTheme="minorEastAsia" w:eastAsiaTheme="minorEastAsia"/>
          <w:sz w:val="28"/>
          <w:szCs w:val="28"/>
          <w:highlight w:val="none"/>
          <w:lang w:val="en-US" w:eastAsia="zh-CN"/>
        </w:rPr>
      </w:pPr>
      <w:r>
        <w:rPr>
          <w:rFonts w:hint="eastAsia" w:ascii="仿宋_GB2312" w:hAnsi="Times New Roman" w:eastAsia="仿宋_GB2312" w:cs="Times New Roman"/>
          <w:kern w:val="2"/>
          <w:sz w:val="32"/>
          <w:szCs w:val="32"/>
          <w:highlight w:val="none"/>
          <w:lang w:val="en-US" w:eastAsia="zh-CN" w:bidi="ar-SA"/>
        </w:rPr>
        <w:t>详见附表1</w:t>
      </w:r>
      <w:r>
        <w:rPr>
          <w:rFonts w:cs="楷体_GB2312" w:asciiTheme="minorEastAsia" w:hAnsiTheme="minorEastAsia"/>
          <w:sz w:val="28"/>
          <w:szCs w:val="28"/>
          <w:highlight w:val="none"/>
        </w:rPr>
        <w:t>项目绩效评分</w:t>
      </w:r>
      <w:r>
        <w:rPr>
          <w:rFonts w:hint="eastAsia" w:cs="楷体_GB2312" w:asciiTheme="minorEastAsia" w:hAnsiTheme="minorEastAsia"/>
          <w:sz w:val="28"/>
          <w:szCs w:val="28"/>
          <w:highlight w:val="none"/>
          <w:lang w:val="en-US" w:eastAsia="zh-CN"/>
        </w:rPr>
        <w:t>表</w:t>
      </w:r>
    </w:p>
    <w:tbl>
      <w:tblPr>
        <w:tblStyle w:val="17"/>
        <w:tblW w:w="5050" w:type="pct"/>
        <w:tblInd w:w="0" w:type="dxa"/>
        <w:tblLayout w:type="fixed"/>
        <w:tblCellMar>
          <w:top w:w="0" w:type="dxa"/>
          <w:left w:w="10" w:type="dxa"/>
          <w:bottom w:w="0" w:type="dxa"/>
          <w:right w:w="10" w:type="dxa"/>
        </w:tblCellMar>
      </w:tblPr>
      <w:tblGrid>
        <w:gridCol w:w="961"/>
        <w:gridCol w:w="1439"/>
        <w:gridCol w:w="1568"/>
        <w:gridCol w:w="1604"/>
        <w:gridCol w:w="1664"/>
        <w:gridCol w:w="1831"/>
      </w:tblGrid>
      <w:tr>
        <w:tblPrEx>
          <w:tblCellMar>
            <w:top w:w="0" w:type="dxa"/>
            <w:left w:w="10" w:type="dxa"/>
            <w:bottom w:w="0" w:type="dxa"/>
            <w:right w:w="10" w:type="dxa"/>
          </w:tblCellMar>
        </w:tblPrEx>
        <w:trPr>
          <w:trHeight w:val="766" w:hRule="exact"/>
        </w:trPr>
        <w:tc>
          <w:tcPr>
            <w:tcW w:w="9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cs="楷体_GB2312" w:asciiTheme="minorEastAsia" w:hAnsiTheme="minorEastAsia"/>
                <w:sz w:val="28"/>
                <w:szCs w:val="28"/>
              </w:rPr>
            </w:pPr>
            <w:r>
              <w:rPr>
                <w:rFonts w:hint="eastAsia" w:ascii="仿宋_GB2312" w:hAnsi="Times New Roman" w:eastAsia="仿宋_GB2312" w:cs="Times New Roman"/>
                <w:kern w:val="2"/>
                <w:sz w:val="32"/>
                <w:szCs w:val="32"/>
                <w:lang w:val="en-US" w:eastAsia="zh-CN" w:bidi="ar-SA"/>
              </w:rPr>
              <w:t>指标</w:t>
            </w:r>
          </w:p>
        </w:tc>
        <w:tc>
          <w:tcPr>
            <w:tcW w:w="136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cs="楷体_GB2312" w:asciiTheme="minorEastAsia" w:hAnsiTheme="minorEastAsia"/>
                <w:sz w:val="28"/>
                <w:szCs w:val="28"/>
              </w:rPr>
            </w:pPr>
            <w:r>
              <w:rPr>
                <w:rFonts w:hint="eastAsia" w:ascii="仿宋_GB2312" w:hAnsi="Times New Roman" w:eastAsia="仿宋_GB2312" w:cs="Times New Roman"/>
                <w:kern w:val="2"/>
                <w:sz w:val="32"/>
                <w:szCs w:val="32"/>
                <w:lang w:val="en-US" w:eastAsia="zh-CN" w:bidi="ar-SA"/>
              </w:rPr>
              <w:t>过程</w:t>
            </w:r>
          </w:p>
        </w:tc>
        <w:tc>
          <w:tcPr>
            <w:tcW w:w="148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cs="楷体_GB2312" w:asciiTheme="minorEastAsia" w:hAnsiTheme="minorEastAsia"/>
                <w:sz w:val="28"/>
                <w:szCs w:val="28"/>
              </w:rPr>
            </w:pPr>
            <w:r>
              <w:rPr>
                <w:rFonts w:hint="eastAsia" w:ascii="仿宋_GB2312" w:hAnsi="Times New Roman" w:eastAsia="仿宋_GB2312" w:cs="Times New Roman"/>
                <w:kern w:val="2"/>
                <w:sz w:val="32"/>
                <w:szCs w:val="32"/>
                <w:lang w:val="en-US" w:eastAsia="zh-CN" w:bidi="ar-SA"/>
              </w:rPr>
              <w:t>产出</w:t>
            </w:r>
          </w:p>
        </w:tc>
        <w:tc>
          <w:tcPr>
            <w:tcW w:w="15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cs="楷体_GB2312" w:asciiTheme="minorEastAsia" w:hAnsiTheme="minorEastAsia"/>
                <w:sz w:val="28"/>
                <w:szCs w:val="28"/>
              </w:rPr>
            </w:pPr>
            <w:r>
              <w:rPr>
                <w:rFonts w:hint="eastAsia" w:ascii="仿宋_GB2312" w:hAnsi="Times New Roman" w:eastAsia="仿宋_GB2312" w:cs="Times New Roman"/>
                <w:kern w:val="2"/>
                <w:sz w:val="32"/>
                <w:szCs w:val="32"/>
                <w:lang w:val="en-US" w:eastAsia="zh-CN" w:bidi="ar-SA"/>
              </w:rPr>
              <w:t>效益</w:t>
            </w:r>
          </w:p>
        </w:tc>
        <w:tc>
          <w:tcPr>
            <w:tcW w:w="157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满意度</w:t>
            </w:r>
          </w:p>
        </w:tc>
        <w:tc>
          <w:tcPr>
            <w:tcW w:w="173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cs="楷体_GB2312" w:asciiTheme="minorEastAsia" w:hAnsiTheme="minorEastAsia"/>
                <w:sz w:val="28"/>
                <w:szCs w:val="28"/>
              </w:rPr>
            </w:pPr>
            <w:r>
              <w:rPr>
                <w:rFonts w:hint="eastAsia" w:ascii="仿宋_GB2312" w:hAnsi="Times New Roman" w:eastAsia="仿宋_GB2312" w:cs="Times New Roman"/>
                <w:kern w:val="2"/>
                <w:sz w:val="32"/>
                <w:szCs w:val="32"/>
                <w:lang w:val="en-US" w:eastAsia="zh-CN" w:bidi="ar-SA"/>
              </w:rPr>
              <w:t>合计分值</w:t>
            </w:r>
          </w:p>
        </w:tc>
      </w:tr>
      <w:tr>
        <w:tblPrEx>
          <w:tblCellMar>
            <w:top w:w="0" w:type="dxa"/>
            <w:left w:w="10" w:type="dxa"/>
            <w:bottom w:w="0" w:type="dxa"/>
            <w:right w:w="10" w:type="dxa"/>
          </w:tblCellMar>
        </w:tblPrEx>
        <w:trPr>
          <w:trHeight w:val="610" w:hRule="exact"/>
        </w:trPr>
        <w:tc>
          <w:tcPr>
            <w:tcW w:w="9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cs="楷体_GB2312" w:asciiTheme="minorEastAsia" w:hAnsiTheme="minorEastAsia"/>
                <w:sz w:val="28"/>
                <w:szCs w:val="28"/>
                <w:highlight w:val="none"/>
              </w:rPr>
            </w:pPr>
            <w:r>
              <w:rPr>
                <w:rFonts w:hint="eastAsia" w:ascii="仿宋_GB2312" w:hAnsi="Times New Roman" w:eastAsia="仿宋_GB2312" w:cs="Times New Roman"/>
                <w:kern w:val="2"/>
                <w:sz w:val="32"/>
                <w:szCs w:val="32"/>
                <w:highlight w:val="none"/>
                <w:lang w:val="en-US" w:eastAsia="zh-CN" w:bidi="ar-SA"/>
              </w:rPr>
              <w:t>权重</w:t>
            </w:r>
          </w:p>
        </w:tc>
        <w:tc>
          <w:tcPr>
            <w:tcW w:w="1361" w:type="dxa"/>
            <w:tcBorders>
              <w:top w:val="single" w:color="auto" w:sz="4" w:space="0"/>
              <w:left w:val="single" w:color="auto" w:sz="4" w:space="0"/>
              <w:bottom w:val="single" w:color="auto" w:sz="4" w:space="0"/>
              <w:right w:val="single" w:color="auto" w:sz="4" w:space="0"/>
            </w:tcBorders>
            <w:vAlign w:val="center"/>
          </w:tcPr>
          <w:p>
            <w:pPr>
              <w:spacing w:line="560" w:lineRule="exact"/>
              <w:ind w:firstLine="560" w:firstLineChars="200"/>
              <w:jc w:val="both"/>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27</w:t>
            </w:r>
          </w:p>
        </w:tc>
        <w:tc>
          <w:tcPr>
            <w:tcW w:w="1483" w:type="dxa"/>
            <w:tcBorders>
              <w:top w:val="single" w:color="auto" w:sz="4" w:space="0"/>
              <w:left w:val="single" w:color="auto" w:sz="4" w:space="0"/>
              <w:bottom w:val="single" w:color="auto" w:sz="4" w:space="0"/>
              <w:right w:val="single" w:color="auto" w:sz="4" w:space="0"/>
            </w:tcBorders>
            <w:vAlign w:val="center"/>
          </w:tcPr>
          <w:p>
            <w:pPr>
              <w:spacing w:line="560" w:lineRule="exact"/>
              <w:ind w:firstLine="560" w:firstLineChars="200"/>
              <w:jc w:val="both"/>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48</w:t>
            </w:r>
          </w:p>
        </w:tc>
        <w:tc>
          <w:tcPr>
            <w:tcW w:w="1517" w:type="dxa"/>
            <w:tcBorders>
              <w:top w:val="single" w:color="auto" w:sz="4" w:space="0"/>
              <w:left w:val="single" w:color="auto" w:sz="4" w:space="0"/>
              <w:bottom w:val="single" w:color="auto" w:sz="4" w:space="0"/>
              <w:right w:val="single" w:color="auto" w:sz="4" w:space="0"/>
            </w:tcBorders>
            <w:vAlign w:val="center"/>
          </w:tcPr>
          <w:p>
            <w:pPr>
              <w:spacing w:line="560" w:lineRule="exact"/>
              <w:ind w:firstLine="560" w:firstLineChars="200"/>
              <w:jc w:val="both"/>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19</w:t>
            </w:r>
          </w:p>
        </w:tc>
        <w:tc>
          <w:tcPr>
            <w:tcW w:w="1574" w:type="dxa"/>
            <w:tcBorders>
              <w:top w:val="single" w:color="auto" w:sz="4" w:space="0"/>
              <w:left w:val="single" w:color="auto" w:sz="4" w:space="0"/>
              <w:bottom w:val="single" w:color="auto" w:sz="4" w:space="0"/>
              <w:right w:val="single" w:color="auto" w:sz="4" w:space="0"/>
            </w:tcBorders>
            <w:vAlign w:val="center"/>
          </w:tcPr>
          <w:p>
            <w:pPr>
              <w:spacing w:line="560" w:lineRule="exact"/>
              <w:ind w:firstLine="560" w:firstLineChars="200"/>
              <w:jc w:val="both"/>
              <w:rPr>
                <w:rFonts w:hint="eastAsia" w:ascii="宋体" w:hAnsi="宋体" w:eastAsia="宋体" w:cs="宋体"/>
                <w:kern w:val="2"/>
                <w:sz w:val="28"/>
                <w:szCs w:val="28"/>
                <w:highlight w:val="none"/>
                <w:lang w:val="en-US" w:eastAsia="zh-CN" w:bidi="ar-SA"/>
              </w:rPr>
            </w:pPr>
            <w:r>
              <w:rPr>
                <w:rFonts w:hint="eastAsia" w:ascii="宋体" w:hAnsi="宋体" w:eastAsia="宋体" w:cs="宋体"/>
                <w:kern w:val="2"/>
                <w:sz w:val="28"/>
                <w:szCs w:val="28"/>
                <w:highlight w:val="none"/>
                <w:lang w:val="en-US" w:eastAsia="zh-CN" w:bidi="ar-SA"/>
              </w:rPr>
              <w:t>6</w:t>
            </w:r>
          </w:p>
        </w:tc>
        <w:tc>
          <w:tcPr>
            <w:tcW w:w="1731" w:type="dxa"/>
            <w:tcBorders>
              <w:top w:val="single" w:color="auto" w:sz="4" w:space="0"/>
              <w:left w:val="single" w:color="auto" w:sz="4" w:space="0"/>
              <w:bottom w:val="single" w:color="auto" w:sz="4" w:space="0"/>
              <w:right w:val="single" w:color="auto" w:sz="4" w:space="0"/>
            </w:tcBorders>
            <w:vAlign w:val="center"/>
          </w:tcPr>
          <w:p>
            <w:pPr>
              <w:spacing w:line="560" w:lineRule="exact"/>
              <w:ind w:firstLine="560" w:firstLineChars="200"/>
              <w:jc w:val="both"/>
              <w:rPr>
                <w:rFonts w:hint="eastAsia" w:ascii="宋体" w:hAnsi="宋体" w:eastAsia="宋体" w:cs="宋体"/>
                <w:sz w:val="28"/>
                <w:szCs w:val="28"/>
                <w:highlight w:val="none"/>
              </w:rPr>
            </w:pPr>
            <w:r>
              <w:rPr>
                <w:rFonts w:hint="eastAsia" w:ascii="宋体" w:hAnsi="宋体" w:eastAsia="宋体" w:cs="宋体"/>
                <w:kern w:val="2"/>
                <w:sz w:val="28"/>
                <w:szCs w:val="28"/>
                <w:highlight w:val="none"/>
                <w:lang w:val="en-US" w:eastAsia="zh-CN" w:bidi="ar-SA"/>
              </w:rPr>
              <w:t>100</w:t>
            </w:r>
          </w:p>
        </w:tc>
      </w:tr>
      <w:tr>
        <w:tblPrEx>
          <w:tblCellMar>
            <w:top w:w="0" w:type="dxa"/>
            <w:left w:w="10" w:type="dxa"/>
            <w:bottom w:w="0" w:type="dxa"/>
            <w:right w:w="10" w:type="dxa"/>
          </w:tblCellMar>
        </w:tblPrEx>
        <w:trPr>
          <w:trHeight w:val="702" w:hRule="exact"/>
        </w:trPr>
        <w:tc>
          <w:tcPr>
            <w:tcW w:w="9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cs="楷体_GB2312" w:asciiTheme="minorEastAsia" w:hAnsiTheme="minorEastAsia"/>
                <w:sz w:val="28"/>
                <w:szCs w:val="28"/>
                <w:highlight w:val="none"/>
              </w:rPr>
            </w:pPr>
            <w:r>
              <w:rPr>
                <w:rFonts w:hint="eastAsia" w:ascii="仿宋_GB2312" w:hAnsi="Times New Roman" w:eastAsia="仿宋_GB2312" w:cs="Times New Roman"/>
                <w:kern w:val="2"/>
                <w:sz w:val="32"/>
                <w:szCs w:val="32"/>
                <w:highlight w:val="none"/>
                <w:lang w:val="en-US" w:eastAsia="zh-CN" w:bidi="ar-SA"/>
              </w:rPr>
              <w:t>分值</w:t>
            </w:r>
          </w:p>
        </w:tc>
        <w:tc>
          <w:tcPr>
            <w:tcW w:w="1361" w:type="dxa"/>
            <w:tcBorders>
              <w:top w:val="single" w:color="auto" w:sz="4" w:space="0"/>
              <w:left w:val="single" w:color="auto" w:sz="4" w:space="0"/>
              <w:bottom w:val="single" w:color="auto" w:sz="4" w:space="0"/>
              <w:right w:val="single" w:color="auto" w:sz="4" w:space="0"/>
            </w:tcBorders>
            <w:vAlign w:val="center"/>
          </w:tcPr>
          <w:p>
            <w:pPr>
              <w:spacing w:line="560" w:lineRule="exact"/>
              <w:ind w:firstLine="560" w:firstLineChars="200"/>
              <w:jc w:val="both"/>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22</w:t>
            </w:r>
          </w:p>
        </w:tc>
        <w:tc>
          <w:tcPr>
            <w:tcW w:w="1483" w:type="dxa"/>
            <w:tcBorders>
              <w:top w:val="single" w:color="auto" w:sz="4" w:space="0"/>
              <w:left w:val="single" w:color="auto" w:sz="4" w:space="0"/>
              <w:bottom w:val="single" w:color="auto" w:sz="4" w:space="0"/>
              <w:right w:val="single" w:color="auto" w:sz="4" w:space="0"/>
            </w:tcBorders>
            <w:vAlign w:val="center"/>
          </w:tcPr>
          <w:p>
            <w:pPr>
              <w:spacing w:line="560" w:lineRule="exact"/>
              <w:ind w:firstLine="560" w:firstLineChars="200"/>
              <w:jc w:val="both"/>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44.5</w:t>
            </w:r>
          </w:p>
        </w:tc>
        <w:tc>
          <w:tcPr>
            <w:tcW w:w="1517" w:type="dxa"/>
            <w:tcBorders>
              <w:top w:val="single" w:color="auto" w:sz="4" w:space="0"/>
              <w:left w:val="single" w:color="auto" w:sz="4" w:space="0"/>
              <w:bottom w:val="single" w:color="auto" w:sz="4" w:space="0"/>
              <w:right w:val="single" w:color="auto" w:sz="4" w:space="0"/>
            </w:tcBorders>
            <w:vAlign w:val="center"/>
          </w:tcPr>
          <w:p>
            <w:pPr>
              <w:spacing w:line="560" w:lineRule="exact"/>
              <w:ind w:firstLine="560" w:firstLineChars="200"/>
              <w:jc w:val="both"/>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17</w:t>
            </w:r>
          </w:p>
        </w:tc>
        <w:tc>
          <w:tcPr>
            <w:tcW w:w="1574" w:type="dxa"/>
            <w:tcBorders>
              <w:top w:val="single" w:color="auto" w:sz="4" w:space="0"/>
              <w:left w:val="single" w:color="auto" w:sz="4" w:space="0"/>
              <w:bottom w:val="single" w:color="auto" w:sz="4" w:space="0"/>
              <w:right w:val="single" w:color="auto" w:sz="4" w:space="0"/>
            </w:tcBorders>
            <w:vAlign w:val="center"/>
          </w:tcPr>
          <w:p>
            <w:pPr>
              <w:spacing w:line="560" w:lineRule="exact"/>
              <w:ind w:firstLine="560" w:firstLineChars="200"/>
              <w:jc w:val="both"/>
              <w:rPr>
                <w:rFonts w:hint="eastAsia" w:ascii="宋体" w:hAnsi="宋体" w:eastAsia="宋体" w:cs="宋体"/>
                <w:kern w:val="2"/>
                <w:sz w:val="28"/>
                <w:szCs w:val="28"/>
                <w:highlight w:val="none"/>
                <w:lang w:val="en-US" w:eastAsia="zh-CN" w:bidi="ar-SA"/>
              </w:rPr>
            </w:pPr>
            <w:r>
              <w:rPr>
                <w:rFonts w:hint="eastAsia" w:ascii="宋体" w:hAnsi="宋体" w:eastAsia="宋体" w:cs="宋体"/>
                <w:kern w:val="2"/>
                <w:sz w:val="28"/>
                <w:szCs w:val="28"/>
                <w:highlight w:val="none"/>
                <w:lang w:val="en-US" w:eastAsia="zh-CN" w:bidi="ar-SA"/>
              </w:rPr>
              <w:t>6</w:t>
            </w:r>
          </w:p>
        </w:tc>
        <w:tc>
          <w:tcPr>
            <w:tcW w:w="1731" w:type="dxa"/>
            <w:tcBorders>
              <w:top w:val="single" w:color="auto" w:sz="4" w:space="0"/>
              <w:left w:val="single" w:color="auto" w:sz="4" w:space="0"/>
              <w:bottom w:val="single" w:color="auto" w:sz="4" w:space="0"/>
              <w:right w:val="single" w:color="auto" w:sz="4" w:space="0"/>
            </w:tcBorders>
            <w:vAlign w:val="center"/>
          </w:tcPr>
          <w:p>
            <w:pPr>
              <w:spacing w:line="560" w:lineRule="exact"/>
              <w:ind w:firstLine="560" w:firstLineChars="200"/>
              <w:jc w:val="both"/>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89.5</w:t>
            </w:r>
          </w:p>
        </w:tc>
      </w:tr>
    </w:tbl>
    <w:p>
      <w:pPr>
        <w:pStyle w:val="8"/>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注：针对本次评价报告，对辖区居民发放调查问卷100份，收回100份。通过分析和整理，被调查人员的满意度为95%，当地居民对惠民医院项目的成立表示了认可。</w:t>
      </w:r>
    </w:p>
    <w:p>
      <w:pPr>
        <w:keepNext w:val="0"/>
        <w:keepLines w:val="0"/>
        <w:widowControl w:val="0"/>
        <w:suppressLineNumbers w:val="0"/>
        <w:spacing w:before="0" w:beforeAutospacing="0" w:after="0" w:afterAutospacing="0" w:line="560" w:lineRule="exact"/>
        <w:ind w:left="0" w:right="0"/>
        <w:jc w:val="both"/>
        <w:outlineLvl w:val="1"/>
        <w:rPr>
          <w:rFonts w:hint="eastAsia" w:ascii="黑体" w:hAnsi="宋体" w:eastAsia="黑体" w:cs="宋体"/>
          <w:bCs/>
          <w:kern w:val="2"/>
          <w:sz w:val="32"/>
          <w:szCs w:val="32"/>
          <w:lang w:val="en-US" w:eastAsia="zh-CN" w:bidi="ar"/>
        </w:rPr>
      </w:pPr>
      <w:bookmarkStart w:id="125" w:name="_Toc13996"/>
      <w:r>
        <w:rPr>
          <w:rFonts w:hint="eastAsia" w:ascii="黑体" w:hAnsi="宋体" w:eastAsia="黑体" w:cs="宋体"/>
          <w:bCs/>
          <w:kern w:val="2"/>
          <w:sz w:val="32"/>
          <w:szCs w:val="32"/>
          <w:lang w:val="en-US" w:eastAsia="zh-CN" w:bidi="ar"/>
        </w:rPr>
        <w:t>十、存在的问题和建议</w:t>
      </w:r>
      <w:bookmarkEnd w:id="125"/>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126" w:name="_Toc15572"/>
      <w:r>
        <w:rPr>
          <w:rFonts w:hint="eastAsia" w:ascii="楷体_GB2312" w:hAnsi="楷体_GB2312" w:eastAsia="楷体_GB2312" w:cs="楷体_GB2312"/>
          <w:sz w:val="32"/>
          <w:szCs w:val="32"/>
          <w:lang w:val="en-US" w:eastAsia="zh-CN"/>
        </w:rPr>
        <w:t>10.1、存在的主要问题</w:t>
      </w:r>
      <w:bookmarkEnd w:id="126"/>
    </w:p>
    <w:p>
      <w:pPr>
        <w:ind w:firstLine="640" w:firstLineChars="200"/>
        <w:rPr>
          <w:rFonts w:hint="default" w:ascii="仿宋_GB2312" w:hAnsi="Times New Roman" w:eastAsia="仿宋_GB2312" w:cs="Times New Roman"/>
          <w:kern w:val="2"/>
          <w:sz w:val="32"/>
          <w:szCs w:val="32"/>
          <w:highlight w:val="yellow"/>
          <w:lang w:val="en-US" w:eastAsia="zh-CN" w:bidi="ar-SA"/>
        </w:rPr>
      </w:pPr>
      <w:r>
        <w:rPr>
          <w:rFonts w:hint="eastAsia" w:ascii="仿宋_GB2312" w:hAnsi="Times New Roman" w:eastAsia="仿宋_GB2312" w:cs="Times New Roman"/>
          <w:kern w:val="2"/>
          <w:sz w:val="32"/>
          <w:szCs w:val="32"/>
          <w:highlight w:val="none"/>
          <w:lang w:val="en-US" w:eastAsia="zh-CN" w:bidi="ar-SA"/>
        </w:rPr>
        <w:t>本项目于2023年6月完工，但截至2023年12月也未竣工验收。</w:t>
      </w:r>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127" w:name="_Toc26342"/>
      <w:r>
        <w:rPr>
          <w:rFonts w:hint="eastAsia" w:ascii="楷体_GB2312" w:hAnsi="楷体_GB2312" w:eastAsia="楷体_GB2312" w:cs="楷体_GB2312"/>
          <w:sz w:val="32"/>
          <w:szCs w:val="32"/>
          <w:lang w:val="en-US" w:eastAsia="zh-CN"/>
        </w:rPr>
        <w:t>10.2、建议</w:t>
      </w:r>
      <w:bookmarkEnd w:id="127"/>
    </w:p>
    <w:p>
      <w:pPr>
        <w:ind w:firstLine="640" w:firstLineChars="200"/>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首先，施工单位在工程完工后应及时对工程质量进行检查，确认工程质量符合有关法律、法规和工程建设强制性标准，符合设计文件及合同要求，并提交工程竣工报告和竣工图纸。工程竣工报告应经项目经理和施工单位有关负责人审核签字。对于委托监理的工程项目，监理单位对工程进行了质量评估，具有完整的监理资料，并提出工程质量评估报告。工程质量评估报告应经总监理工程师和监理单位有关负责人审核签字。施工企业首先应在合同中明确约定施工的各项内容，在这些内容确认完成后，提供完备的资料配合建设单位及其他相关单位按照合同要求进行竣工验收。</w:t>
      </w:r>
    </w:p>
    <w:p>
      <w:pPr>
        <w:ind w:firstLine="640" w:firstLineChars="200"/>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其次，应该建立健全相关法律和制度，经过完善法规和制度来科学配置权力，相关建设管理部门及其工作人员及时行使行政审批权、许可权、验收权等，明确建设管理部门及其工作人员权限和职责，完善审批、检验、检测程序，并向社会公开，增加透明度。科学配置权力，规范程序。</w:t>
      </w:r>
    </w:p>
    <w:p>
      <w:pPr>
        <w:keepNext w:val="0"/>
        <w:keepLines w:val="0"/>
        <w:widowControl w:val="0"/>
        <w:suppressLineNumbers w:val="0"/>
        <w:spacing w:before="0" w:beforeAutospacing="0" w:after="0" w:afterAutospacing="0" w:line="560" w:lineRule="exact"/>
        <w:ind w:left="0" w:right="0"/>
        <w:jc w:val="both"/>
        <w:outlineLvl w:val="1"/>
        <w:rPr>
          <w:rFonts w:hint="eastAsia" w:ascii="黑体" w:hAnsi="宋体" w:eastAsia="黑体" w:cs="宋体"/>
          <w:bCs/>
          <w:kern w:val="2"/>
          <w:sz w:val="32"/>
          <w:szCs w:val="32"/>
          <w:lang w:val="en-US" w:eastAsia="zh-CN" w:bidi="ar"/>
        </w:rPr>
      </w:pPr>
      <w:bookmarkStart w:id="128" w:name="_Toc6593"/>
      <w:r>
        <w:rPr>
          <w:rFonts w:hint="eastAsia" w:ascii="黑体" w:hAnsi="宋体" w:eastAsia="黑体" w:cs="宋体"/>
          <w:bCs/>
          <w:kern w:val="2"/>
          <w:sz w:val="32"/>
          <w:szCs w:val="32"/>
          <w:lang w:val="en-US" w:eastAsia="zh-CN" w:bidi="ar"/>
        </w:rPr>
        <w:t>十一、其他需要说明的问题</w:t>
      </w:r>
      <w:bookmarkEnd w:id="128"/>
    </w:p>
    <w:p>
      <w:pPr>
        <w:pStyle w:val="8"/>
        <w:rPr>
          <w:rFonts w:hint="default" w:ascii="仿宋_GB2312" w:hAnsi="Times New Roman" w:eastAsia="仿宋_GB2312" w:cs="Times New Roman"/>
          <w:kern w:val="2"/>
          <w:sz w:val="32"/>
          <w:szCs w:val="32"/>
          <w:lang w:val="en-US" w:eastAsia="zh-CN" w:bidi="ar-SA"/>
        </w:rPr>
      </w:pPr>
      <w:bookmarkStart w:id="129" w:name="_Toc10714"/>
      <w:bookmarkStart w:id="130" w:name="_Toc764"/>
      <w:bookmarkStart w:id="131" w:name="_Toc24751"/>
      <w:r>
        <w:rPr>
          <w:rFonts w:hint="eastAsia" w:ascii="仿宋_GB2312" w:hAnsi="Times New Roman" w:eastAsia="仿宋_GB2312" w:cs="Times New Roman"/>
          <w:kern w:val="2"/>
          <w:sz w:val="32"/>
          <w:szCs w:val="32"/>
          <w:lang w:val="en-US" w:eastAsia="zh-CN" w:bidi="ar-SA"/>
        </w:rPr>
        <w:t>1、本绩效评价报告是在项目实施单位提供资料的基础上形成的。</w:t>
      </w:r>
      <w:bookmarkEnd w:id="129"/>
      <w:bookmarkEnd w:id="130"/>
      <w:bookmarkEnd w:id="131"/>
    </w:p>
    <w:p>
      <w:pPr>
        <w:pStyle w:val="8"/>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2、本绩效评价报告仅供赣州蓉江新区财政局对“2022年度赣州蓉江新区惠民医院建设工程项目”绩效评价相关工作使用，不作他用。</w:t>
      </w:r>
    </w:p>
    <w:p>
      <w:pPr>
        <w:pStyle w:val="8"/>
        <w:rPr>
          <w:rFonts w:hint="eastAsia" w:ascii="仿宋_GB2312" w:hAnsi="Times New Roman" w:eastAsia="仿宋_GB2312" w:cs="Times New Roman"/>
          <w:kern w:val="2"/>
          <w:sz w:val="32"/>
          <w:szCs w:val="32"/>
          <w:lang w:val="en-US" w:eastAsia="zh-CN" w:bidi="ar-SA"/>
        </w:rPr>
      </w:pPr>
    </w:p>
    <w:p>
      <w:pPr>
        <w:pStyle w:val="8"/>
        <w:rPr>
          <w:rFonts w:hint="eastAsia" w:ascii="仿宋_GB2312" w:hAnsi="Times New Roman" w:eastAsia="仿宋_GB2312" w:cs="Times New Roman"/>
          <w:kern w:val="2"/>
          <w:sz w:val="32"/>
          <w:szCs w:val="32"/>
          <w:lang w:val="en-US" w:eastAsia="zh-CN" w:bidi="ar-SA"/>
        </w:rPr>
      </w:pPr>
    </w:p>
    <w:p>
      <w:pPr>
        <w:pStyle w:val="8"/>
        <w:ind w:firstLine="2467" w:firstLineChars="771"/>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国众联资产评估土地房地产估价有限公司</w:t>
      </w:r>
    </w:p>
    <w:p>
      <w:pPr>
        <w:pStyle w:val="8"/>
        <w:ind w:firstLine="5664" w:firstLineChars="177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2023年12月31</w:t>
      </w:r>
      <w:bookmarkStart w:id="132" w:name="_GoBack"/>
      <w:bookmarkEnd w:id="132"/>
      <w:r>
        <w:rPr>
          <w:rFonts w:hint="eastAsia" w:ascii="仿宋_GB2312" w:hAnsi="Times New Roman" w:eastAsia="仿宋_GB2312" w:cs="Times New Roman"/>
          <w:kern w:val="2"/>
          <w:sz w:val="32"/>
          <w:szCs w:val="32"/>
          <w:lang w:val="en-US" w:eastAsia="zh-CN" w:bidi="ar-SA"/>
        </w:rPr>
        <w:t>日</w:t>
      </w:r>
    </w:p>
    <w:sectPr>
      <w:footerReference r:id="rId5" w:type="default"/>
      <w:pgSz w:w="11906" w:h="16838"/>
      <w:pgMar w:top="1417" w:right="1474" w:bottom="1417" w:left="1474" w:header="794" w:footer="822"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pPr>
                <w:r>
                  <w:fldChar w:fldCharType="begin"/>
                </w:r>
                <w:r>
                  <w:instrText xml:space="preserve"> PAGE  \* MERGEFORMAT </w:instrText>
                </w:r>
                <w:r>
                  <w:fldChar w:fldCharType="separate"/>
                </w:r>
                <w:r>
                  <w:t>3</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r>
      <w:rPr>
        <w:rFonts w:hint="eastAsia"/>
      </w:rPr>
      <w:t>2022年度赣州蓉江新区惠民医院建设工程项目支出绩效评价报告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9F74FD"/>
    <w:multiLevelType w:val="singleLevel"/>
    <w:tmpl w:val="8D9F74FD"/>
    <w:lvl w:ilvl="0" w:tentative="0">
      <w:start w:val="4"/>
      <w:numFmt w:val="chineseCounting"/>
      <w:suff w:val="nothing"/>
      <w:lvlText w:val="%1、"/>
      <w:lvlJc w:val="left"/>
      <w:pPr>
        <w:ind w:left="63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I0MWIwZjg5ODFkNjdjN2ZkM2E5YTZlZmJlNDNiZjAifQ=="/>
  </w:docVars>
  <w:rsids>
    <w:rsidRoot w:val="006C3717"/>
    <w:rsid w:val="0011122E"/>
    <w:rsid w:val="00121EAE"/>
    <w:rsid w:val="00191D16"/>
    <w:rsid w:val="001D7DE9"/>
    <w:rsid w:val="003C4530"/>
    <w:rsid w:val="003E3E47"/>
    <w:rsid w:val="0040777A"/>
    <w:rsid w:val="004348EE"/>
    <w:rsid w:val="004E3043"/>
    <w:rsid w:val="005440D2"/>
    <w:rsid w:val="00582D04"/>
    <w:rsid w:val="006A19F5"/>
    <w:rsid w:val="006C3717"/>
    <w:rsid w:val="007113DE"/>
    <w:rsid w:val="0072423E"/>
    <w:rsid w:val="0087742E"/>
    <w:rsid w:val="0093799E"/>
    <w:rsid w:val="009A3BD2"/>
    <w:rsid w:val="009C7F20"/>
    <w:rsid w:val="00B511BA"/>
    <w:rsid w:val="00B84BC0"/>
    <w:rsid w:val="00D63F12"/>
    <w:rsid w:val="00D81911"/>
    <w:rsid w:val="00D93590"/>
    <w:rsid w:val="00E11364"/>
    <w:rsid w:val="00E12132"/>
    <w:rsid w:val="00E12810"/>
    <w:rsid w:val="00F117CA"/>
    <w:rsid w:val="014C6B51"/>
    <w:rsid w:val="018D750F"/>
    <w:rsid w:val="021B1804"/>
    <w:rsid w:val="03F5025A"/>
    <w:rsid w:val="048209F9"/>
    <w:rsid w:val="04B62533"/>
    <w:rsid w:val="0580659C"/>
    <w:rsid w:val="05F70ABC"/>
    <w:rsid w:val="06432F0A"/>
    <w:rsid w:val="08047976"/>
    <w:rsid w:val="08AC7E3C"/>
    <w:rsid w:val="09EB63F4"/>
    <w:rsid w:val="0A3B7763"/>
    <w:rsid w:val="0A821917"/>
    <w:rsid w:val="0AAC240E"/>
    <w:rsid w:val="0BAD4E86"/>
    <w:rsid w:val="0CB67574"/>
    <w:rsid w:val="0E1146B6"/>
    <w:rsid w:val="0E1D340F"/>
    <w:rsid w:val="0EF152D3"/>
    <w:rsid w:val="1090499F"/>
    <w:rsid w:val="10924B8D"/>
    <w:rsid w:val="11F343BF"/>
    <w:rsid w:val="12CE461B"/>
    <w:rsid w:val="12FA10B6"/>
    <w:rsid w:val="13263089"/>
    <w:rsid w:val="16BA7482"/>
    <w:rsid w:val="16BB5752"/>
    <w:rsid w:val="17D86D38"/>
    <w:rsid w:val="18082EFA"/>
    <w:rsid w:val="19AC4A14"/>
    <w:rsid w:val="1A8A6D7E"/>
    <w:rsid w:val="1B0320BB"/>
    <w:rsid w:val="1B90151E"/>
    <w:rsid w:val="1B9B1973"/>
    <w:rsid w:val="1BA64EEF"/>
    <w:rsid w:val="1C09174E"/>
    <w:rsid w:val="1C662AD7"/>
    <w:rsid w:val="1CB615D1"/>
    <w:rsid w:val="1CC37A84"/>
    <w:rsid w:val="1CCF1A49"/>
    <w:rsid w:val="1D65336F"/>
    <w:rsid w:val="1D9413D1"/>
    <w:rsid w:val="1F095917"/>
    <w:rsid w:val="1F3A5DE3"/>
    <w:rsid w:val="208D148B"/>
    <w:rsid w:val="20C248BD"/>
    <w:rsid w:val="20CA43E2"/>
    <w:rsid w:val="20DA482A"/>
    <w:rsid w:val="20DA7771"/>
    <w:rsid w:val="20E406FC"/>
    <w:rsid w:val="20ED4E5A"/>
    <w:rsid w:val="221F5268"/>
    <w:rsid w:val="2226421E"/>
    <w:rsid w:val="238B2DF7"/>
    <w:rsid w:val="240B77DC"/>
    <w:rsid w:val="24F86CC3"/>
    <w:rsid w:val="252B49CB"/>
    <w:rsid w:val="256A1E0D"/>
    <w:rsid w:val="265F3B9E"/>
    <w:rsid w:val="26F3388E"/>
    <w:rsid w:val="27ED45EC"/>
    <w:rsid w:val="29695641"/>
    <w:rsid w:val="2AA027A4"/>
    <w:rsid w:val="2AC62ABD"/>
    <w:rsid w:val="2AF12CCF"/>
    <w:rsid w:val="2B0F014E"/>
    <w:rsid w:val="2BFF5450"/>
    <w:rsid w:val="2C265B66"/>
    <w:rsid w:val="2C2C601B"/>
    <w:rsid w:val="2CA37807"/>
    <w:rsid w:val="2E132621"/>
    <w:rsid w:val="2E85181C"/>
    <w:rsid w:val="2F536246"/>
    <w:rsid w:val="316D1286"/>
    <w:rsid w:val="31FD3CF4"/>
    <w:rsid w:val="3236255A"/>
    <w:rsid w:val="324E562B"/>
    <w:rsid w:val="32594346"/>
    <w:rsid w:val="327E41AE"/>
    <w:rsid w:val="344B4FD1"/>
    <w:rsid w:val="34DA17F1"/>
    <w:rsid w:val="34F3155D"/>
    <w:rsid w:val="350963EA"/>
    <w:rsid w:val="35D31FC5"/>
    <w:rsid w:val="36106581"/>
    <w:rsid w:val="37052E82"/>
    <w:rsid w:val="371F2CAB"/>
    <w:rsid w:val="379B307C"/>
    <w:rsid w:val="38585C02"/>
    <w:rsid w:val="395F1248"/>
    <w:rsid w:val="397A453A"/>
    <w:rsid w:val="3A3A43A6"/>
    <w:rsid w:val="3AB770E0"/>
    <w:rsid w:val="3BDA5A66"/>
    <w:rsid w:val="3D7F4377"/>
    <w:rsid w:val="3DF24001"/>
    <w:rsid w:val="3E1D0DCB"/>
    <w:rsid w:val="40385F17"/>
    <w:rsid w:val="40B2502E"/>
    <w:rsid w:val="412E0B5F"/>
    <w:rsid w:val="41A9419F"/>
    <w:rsid w:val="42876CE2"/>
    <w:rsid w:val="43926746"/>
    <w:rsid w:val="43E70D28"/>
    <w:rsid w:val="44276F7A"/>
    <w:rsid w:val="45383783"/>
    <w:rsid w:val="45866503"/>
    <w:rsid w:val="46285DFB"/>
    <w:rsid w:val="46AF5692"/>
    <w:rsid w:val="46CA3C36"/>
    <w:rsid w:val="46E54E1C"/>
    <w:rsid w:val="47F26803"/>
    <w:rsid w:val="4804773F"/>
    <w:rsid w:val="48052D08"/>
    <w:rsid w:val="49334026"/>
    <w:rsid w:val="4CF6765F"/>
    <w:rsid w:val="4D08222D"/>
    <w:rsid w:val="4D765CA0"/>
    <w:rsid w:val="4D795695"/>
    <w:rsid w:val="4DC61755"/>
    <w:rsid w:val="4E6E45F3"/>
    <w:rsid w:val="4F52447C"/>
    <w:rsid w:val="515C14C8"/>
    <w:rsid w:val="517E2F1C"/>
    <w:rsid w:val="519B20D8"/>
    <w:rsid w:val="523B746D"/>
    <w:rsid w:val="52935E27"/>
    <w:rsid w:val="5460301F"/>
    <w:rsid w:val="54C811C0"/>
    <w:rsid w:val="55353938"/>
    <w:rsid w:val="55CD6256"/>
    <w:rsid w:val="55D641A7"/>
    <w:rsid w:val="55DA1EFB"/>
    <w:rsid w:val="560B5E0D"/>
    <w:rsid w:val="565912C2"/>
    <w:rsid w:val="56726909"/>
    <w:rsid w:val="5736609C"/>
    <w:rsid w:val="576560C5"/>
    <w:rsid w:val="584B7818"/>
    <w:rsid w:val="58D32255"/>
    <w:rsid w:val="597B64F6"/>
    <w:rsid w:val="59DF28EA"/>
    <w:rsid w:val="5A8F7A63"/>
    <w:rsid w:val="5A9A635F"/>
    <w:rsid w:val="5C8A0057"/>
    <w:rsid w:val="5D1458EA"/>
    <w:rsid w:val="5D853632"/>
    <w:rsid w:val="5D981932"/>
    <w:rsid w:val="5E4745B8"/>
    <w:rsid w:val="5EC84FF5"/>
    <w:rsid w:val="5FF86730"/>
    <w:rsid w:val="607567FE"/>
    <w:rsid w:val="60AF76D8"/>
    <w:rsid w:val="60EE6C3E"/>
    <w:rsid w:val="62311F2A"/>
    <w:rsid w:val="626F5040"/>
    <w:rsid w:val="63126422"/>
    <w:rsid w:val="634B193A"/>
    <w:rsid w:val="63EF5463"/>
    <w:rsid w:val="64385425"/>
    <w:rsid w:val="64412240"/>
    <w:rsid w:val="645C194C"/>
    <w:rsid w:val="65AE189E"/>
    <w:rsid w:val="65F655E1"/>
    <w:rsid w:val="66144F6E"/>
    <w:rsid w:val="661D5DA5"/>
    <w:rsid w:val="67F73615"/>
    <w:rsid w:val="68142211"/>
    <w:rsid w:val="6838538E"/>
    <w:rsid w:val="6864795C"/>
    <w:rsid w:val="69A56778"/>
    <w:rsid w:val="6A67088E"/>
    <w:rsid w:val="6CE8118C"/>
    <w:rsid w:val="6D1D12E0"/>
    <w:rsid w:val="713D218C"/>
    <w:rsid w:val="71996E31"/>
    <w:rsid w:val="71E74990"/>
    <w:rsid w:val="71FF11AD"/>
    <w:rsid w:val="732C144E"/>
    <w:rsid w:val="74326307"/>
    <w:rsid w:val="754A712C"/>
    <w:rsid w:val="7A555829"/>
    <w:rsid w:val="7B6905ED"/>
    <w:rsid w:val="7BE97E41"/>
    <w:rsid w:val="7C1560B2"/>
    <w:rsid w:val="7C550244"/>
    <w:rsid w:val="7CDC2397"/>
    <w:rsid w:val="7D182861"/>
    <w:rsid w:val="7D84529B"/>
    <w:rsid w:val="7DD333CF"/>
    <w:rsid w:val="7E714C0A"/>
    <w:rsid w:val="7EC3373A"/>
    <w:rsid w:val="7EE135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autoRedefine/>
    <w:semiHidden/>
    <w:unhideWhenUsed/>
    <w:qFormat/>
    <w:uiPriority w:val="0"/>
    <w:pPr>
      <w:keepNext/>
      <w:keepLines/>
      <w:spacing w:beforeLines="100" w:line="600" w:lineRule="exact"/>
      <w:outlineLvl w:val="1"/>
    </w:pPr>
    <w:rPr>
      <w:rFonts w:ascii="Arial" w:hAnsi="Arial" w:eastAsia="黑体" w:cs="Times New Roman"/>
    </w:rPr>
  </w:style>
  <w:style w:type="character" w:default="1" w:styleId="19">
    <w:name w:val="Default Paragraph Font"/>
    <w:autoRedefine/>
    <w:semiHidden/>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customStyle="1" w:styleId="2">
    <w:name w:val="样式1"/>
    <w:basedOn w:val="1"/>
    <w:autoRedefine/>
    <w:qFormat/>
    <w:uiPriority w:val="0"/>
  </w:style>
  <w:style w:type="paragraph" w:styleId="5">
    <w:name w:val="toa heading"/>
    <w:basedOn w:val="1"/>
    <w:next w:val="1"/>
    <w:autoRedefine/>
    <w:qFormat/>
    <w:uiPriority w:val="0"/>
    <w:pPr>
      <w:spacing w:before="120"/>
    </w:pPr>
    <w:rPr>
      <w:rFonts w:ascii="Cambria" w:hAnsi="Cambria" w:cs="Times New Roman"/>
      <w:sz w:val="24"/>
    </w:rPr>
  </w:style>
  <w:style w:type="paragraph" w:styleId="6">
    <w:name w:val="annotation text"/>
    <w:basedOn w:val="1"/>
    <w:autoRedefine/>
    <w:qFormat/>
    <w:uiPriority w:val="0"/>
    <w:pPr>
      <w:jc w:val="left"/>
    </w:pPr>
  </w:style>
  <w:style w:type="paragraph" w:styleId="7">
    <w:name w:val="Body Text"/>
    <w:basedOn w:val="1"/>
    <w:next w:val="8"/>
    <w:autoRedefine/>
    <w:unhideWhenUsed/>
    <w:qFormat/>
    <w:uiPriority w:val="99"/>
    <w:pPr>
      <w:spacing w:after="120"/>
    </w:pPr>
  </w:style>
  <w:style w:type="paragraph" w:styleId="8">
    <w:name w:val="Body Text Indent 2"/>
    <w:basedOn w:val="1"/>
    <w:autoRedefine/>
    <w:qFormat/>
    <w:uiPriority w:val="0"/>
    <w:pPr>
      <w:ind w:firstLine="570"/>
    </w:pPr>
    <w:rPr>
      <w:sz w:val="28"/>
      <w:szCs w:val="28"/>
    </w:rPr>
  </w:style>
  <w:style w:type="paragraph" w:styleId="9">
    <w:name w:val="Body Text Indent"/>
    <w:basedOn w:val="1"/>
    <w:autoRedefine/>
    <w:qFormat/>
    <w:uiPriority w:val="0"/>
    <w:pPr>
      <w:keepNext w:val="0"/>
      <w:keepLines w:val="0"/>
      <w:widowControl w:val="0"/>
      <w:suppressLineNumbers w:val="0"/>
      <w:spacing w:before="0" w:beforeAutospacing="0" w:after="120" w:afterAutospacing="0"/>
      <w:ind w:left="420" w:leftChars="200" w:right="0"/>
      <w:jc w:val="both"/>
    </w:pPr>
    <w:rPr>
      <w:rFonts w:hint="default" w:ascii="Calibri" w:hAnsi="Calibri" w:eastAsia="宋体" w:cs="Times New Roman"/>
      <w:kern w:val="2"/>
      <w:sz w:val="21"/>
      <w:szCs w:val="24"/>
      <w:lang w:val="en-US" w:eastAsia="zh-CN" w:bidi="ar"/>
    </w:rPr>
  </w:style>
  <w:style w:type="paragraph" w:styleId="10">
    <w:name w:val="toc 3"/>
    <w:basedOn w:val="1"/>
    <w:next w:val="1"/>
    <w:autoRedefine/>
    <w:unhideWhenUsed/>
    <w:qFormat/>
    <w:uiPriority w:val="39"/>
    <w:pPr>
      <w:widowControl/>
      <w:spacing w:after="100" w:line="259" w:lineRule="auto"/>
      <w:ind w:left="440"/>
      <w:jc w:val="left"/>
    </w:pPr>
    <w:rPr>
      <w:rFonts w:ascii="等线" w:hAnsi="等线" w:eastAsia="等线"/>
      <w:kern w:val="0"/>
      <w:sz w:val="22"/>
    </w:rPr>
  </w:style>
  <w:style w:type="paragraph" w:styleId="11">
    <w:name w:val="Balloon Text"/>
    <w:basedOn w:val="1"/>
    <w:link w:val="25"/>
    <w:autoRedefine/>
    <w:qFormat/>
    <w:uiPriority w:val="0"/>
    <w:rPr>
      <w:sz w:val="18"/>
      <w:szCs w:val="18"/>
    </w:rPr>
  </w:style>
  <w:style w:type="paragraph" w:styleId="12">
    <w:name w:val="footer"/>
    <w:basedOn w:val="1"/>
    <w:link w:val="27"/>
    <w:autoRedefine/>
    <w:qFormat/>
    <w:uiPriority w:val="0"/>
    <w:pPr>
      <w:tabs>
        <w:tab w:val="center" w:pos="4153"/>
        <w:tab w:val="right" w:pos="8306"/>
      </w:tabs>
      <w:snapToGrid w:val="0"/>
      <w:jc w:val="left"/>
    </w:pPr>
    <w:rPr>
      <w:sz w:val="18"/>
      <w:szCs w:val="18"/>
    </w:rPr>
  </w:style>
  <w:style w:type="paragraph" w:styleId="13">
    <w:name w:val="header"/>
    <w:basedOn w:val="1"/>
    <w:link w:val="26"/>
    <w:autoRedefine/>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nhideWhenUsed/>
    <w:qFormat/>
    <w:uiPriority w:val="39"/>
    <w:pPr>
      <w:widowControl/>
      <w:spacing w:after="100" w:line="259" w:lineRule="auto"/>
      <w:jc w:val="left"/>
    </w:pPr>
    <w:rPr>
      <w:rFonts w:ascii="等线" w:hAnsi="等线" w:eastAsia="等线"/>
      <w:kern w:val="0"/>
      <w:sz w:val="22"/>
    </w:rPr>
  </w:style>
  <w:style w:type="paragraph" w:styleId="15">
    <w:name w:val="toc 2"/>
    <w:basedOn w:val="1"/>
    <w:next w:val="1"/>
    <w:autoRedefine/>
    <w:unhideWhenUsed/>
    <w:qFormat/>
    <w:uiPriority w:val="39"/>
    <w:pPr>
      <w:widowControl/>
      <w:spacing w:after="100" w:line="259" w:lineRule="auto"/>
      <w:ind w:left="220"/>
      <w:jc w:val="left"/>
    </w:pPr>
    <w:rPr>
      <w:rFonts w:ascii="等线" w:hAnsi="等线" w:eastAsia="等线"/>
      <w:kern w:val="0"/>
      <w:sz w:val="22"/>
    </w:rPr>
  </w:style>
  <w:style w:type="paragraph" w:styleId="16">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table" w:styleId="18">
    <w:name w:val="Table Grid"/>
    <w:basedOn w:val="1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Hyperlink"/>
    <w:autoRedefine/>
    <w:unhideWhenUsed/>
    <w:qFormat/>
    <w:uiPriority w:val="99"/>
    <w:rPr>
      <w:color w:val="0563C1"/>
      <w:u w:val="single"/>
    </w:rPr>
  </w:style>
  <w:style w:type="paragraph" w:customStyle="1" w:styleId="21">
    <w:name w:val="正文1"/>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22">
    <w:name w:val="WPSOffice手动目录 1"/>
    <w:autoRedefine/>
    <w:qFormat/>
    <w:uiPriority w:val="0"/>
    <w:rPr>
      <w:rFonts w:ascii="Times New Roman" w:hAnsi="Times New Roman" w:eastAsia="宋体" w:cs="Times New Roman"/>
      <w:lang w:val="en-US" w:eastAsia="zh-CN" w:bidi="ar-SA"/>
    </w:rPr>
  </w:style>
  <w:style w:type="paragraph" w:customStyle="1" w:styleId="23">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24">
    <w:name w:val="WPSOffice手动目录 3"/>
    <w:autoRedefine/>
    <w:qFormat/>
    <w:uiPriority w:val="0"/>
    <w:pPr>
      <w:ind w:left="400" w:leftChars="400"/>
    </w:pPr>
    <w:rPr>
      <w:rFonts w:ascii="Times New Roman" w:hAnsi="Times New Roman" w:eastAsia="宋体" w:cs="Times New Roman"/>
      <w:lang w:val="en-US" w:eastAsia="zh-CN" w:bidi="ar-SA"/>
    </w:rPr>
  </w:style>
  <w:style w:type="character" w:customStyle="1" w:styleId="25">
    <w:name w:val="批注框文本 Char"/>
    <w:basedOn w:val="19"/>
    <w:link w:val="11"/>
    <w:autoRedefine/>
    <w:qFormat/>
    <w:uiPriority w:val="0"/>
    <w:rPr>
      <w:rFonts w:asciiTheme="minorHAnsi" w:hAnsiTheme="minorHAnsi" w:eastAsiaTheme="minorEastAsia" w:cstheme="minorBidi"/>
      <w:kern w:val="2"/>
      <w:sz w:val="18"/>
      <w:szCs w:val="18"/>
    </w:rPr>
  </w:style>
  <w:style w:type="character" w:customStyle="1" w:styleId="26">
    <w:name w:val="页眉 Char"/>
    <w:basedOn w:val="19"/>
    <w:link w:val="13"/>
    <w:autoRedefine/>
    <w:qFormat/>
    <w:uiPriority w:val="0"/>
    <w:rPr>
      <w:rFonts w:asciiTheme="minorHAnsi" w:hAnsiTheme="minorHAnsi" w:eastAsiaTheme="minorEastAsia" w:cstheme="minorBidi"/>
      <w:kern w:val="2"/>
      <w:sz w:val="18"/>
      <w:szCs w:val="18"/>
    </w:rPr>
  </w:style>
  <w:style w:type="character" w:customStyle="1" w:styleId="27">
    <w:name w:val="页脚 Char"/>
    <w:basedOn w:val="19"/>
    <w:link w:val="12"/>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1458</Words>
  <Characters>8317</Characters>
  <Lines>69</Lines>
  <Paragraphs>19</Paragraphs>
  <TotalTime>7</TotalTime>
  <ScaleCrop>false</ScaleCrop>
  <LinksUpToDate>false</LinksUpToDate>
  <CharactersWithSpaces>9756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2021-01-04T07:08:00Z</dcterms:created>
  <dc:creator>Administrator</dc:creator>
  <cp:lastModifiedBy>Mango</cp:lastModifiedBy>
  <cp:lastPrinted>2022-08-11T09:06:00Z</cp:lastPrinted>
  <dcterms:modified xsi:type="dcterms:W3CDTF">2024-04-22T02:25:39Z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20D6D85B5CC54023AC1F0AB48B6A41AD</vt:lpwstr>
  </property>
</Properties>
</file>