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outlineLvl w:val="9"/>
        <w:rPr>
          <w:rFonts w:ascii="Times New Roman" w:hAnsi="Times New Roman" w:eastAsia="黑体" w:cs="Times New Roman"/>
          <w:b/>
          <w:sz w:val="44"/>
          <w:szCs w:val="44"/>
        </w:rPr>
      </w:pPr>
      <w:bookmarkStart w:id="0" w:name="_Toc19495"/>
      <w:bookmarkStart w:id="1" w:name="_Toc10487"/>
      <w:bookmarkStart w:id="2" w:name="_Toc19367"/>
      <w:bookmarkStart w:id="3" w:name="_Hlk121234224"/>
      <w:bookmarkStart w:id="4" w:name="_Toc24997"/>
    </w:p>
    <w:p>
      <w:pPr>
        <w:spacing w:line="220" w:lineRule="atLeast"/>
        <w:jc w:val="center"/>
        <w:outlineLvl w:val="9"/>
        <w:rPr>
          <w:rFonts w:ascii="Times New Roman" w:hAnsi="Times New Roman" w:eastAsia="黑体" w:cs="Times New Roman"/>
          <w:b/>
          <w:sz w:val="44"/>
          <w:szCs w:val="44"/>
        </w:rPr>
      </w:pPr>
    </w:p>
    <w:p>
      <w:pPr>
        <w:spacing w:line="220" w:lineRule="atLeast"/>
        <w:jc w:val="center"/>
        <w:outlineLvl w:val="9"/>
        <w:rPr>
          <w:rFonts w:ascii="Times New Roman" w:hAnsi="Times New Roman" w:eastAsia="黑体" w:cs="Times New Roman"/>
          <w:b/>
          <w:sz w:val="44"/>
          <w:szCs w:val="44"/>
        </w:rPr>
      </w:pPr>
    </w:p>
    <w:p>
      <w:pPr>
        <w:pStyle w:val="20"/>
      </w:pPr>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9"/>
        <w:rPr>
          <w:rFonts w:hint="eastAsia" w:ascii="方正小标宋简体" w:hAnsi="仿宋" w:eastAsia="方正小标宋简体" w:cs="宋体"/>
          <w:b/>
          <w:bCs w:val="0"/>
          <w:kern w:val="2"/>
          <w:sz w:val="44"/>
          <w:szCs w:val="44"/>
          <w:lang w:val="en-US" w:eastAsia="zh-CN" w:bidi="ar"/>
        </w:rPr>
      </w:pPr>
      <w:bookmarkStart w:id="5" w:name="_Toc21318"/>
      <w:bookmarkStart w:id="6" w:name="_Toc4839"/>
      <w:bookmarkStart w:id="7" w:name="_Toc13332"/>
      <w:bookmarkStart w:id="8" w:name="_Toc28516"/>
      <w:r>
        <w:rPr>
          <w:rFonts w:hint="eastAsia" w:ascii="方正小标宋简体" w:hAnsi="仿宋" w:eastAsia="方正小标宋简体" w:cs="宋体"/>
          <w:b/>
          <w:bCs w:val="0"/>
          <w:kern w:val="2"/>
          <w:sz w:val="44"/>
          <w:szCs w:val="44"/>
          <w:lang w:val="en-US" w:eastAsia="zh-CN" w:bidi="ar"/>
        </w:rPr>
        <w:t>2022年</w:t>
      </w:r>
      <w:bookmarkStart w:id="9" w:name="_Hlk121495020"/>
      <w:r>
        <w:rPr>
          <w:rFonts w:hint="eastAsia" w:ascii="方正小标宋简体" w:hAnsi="仿宋" w:eastAsia="方正小标宋简体" w:cs="宋体"/>
          <w:b/>
          <w:bCs w:val="0"/>
          <w:kern w:val="2"/>
          <w:sz w:val="44"/>
          <w:szCs w:val="44"/>
          <w:lang w:val="en-US" w:eastAsia="zh-CN" w:bidi="ar"/>
        </w:rPr>
        <w:t>赣州蓉江新区C1-8幼儿园项目</w:t>
      </w:r>
      <w:bookmarkEnd w:id="5"/>
      <w:bookmarkEnd w:id="6"/>
      <w:bookmarkEnd w:id="7"/>
      <w:bookmarkEnd w:id="8"/>
    </w:p>
    <w:bookmarkEnd w:id="0"/>
    <w:bookmarkEnd w:id="1"/>
    <w:bookmarkEnd w:id="2"/>
    <w:bookmarkEnd w:id="3"/>
    <w:bookmarkEnd w:id="4"/>
    <w:bookmarkEnd w:id="9"/>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9"/>
        <w:rPr>
          <w:rFonts w:hint="eastAsia" w:ascii="方正小标宋简体" w:hAnsi="仿宋" w:eastAsia="方正小标宋简体" w:cs="宋体"/>
          <w:b/>
          <w:bCs w:val="0"/>
          <w:kern w:val="2"/>
          <w:sz w:val="44"/>
          <w:szCs w:val="44"/>
          <w:lang w:val="en-US" w:eastAsia="zh-CN" w:bidi="ar"/>
        </w:rPr>
      </w:pPr>
      <w:bookmarkStart w:id="10" w:name="_Toc10476"/>
      <w:bookmarkStart w:id="11" w:name="_Toc27191"/>
      <w:bookmarkStart w:id="12" w:name="_Toc31488"/>
      <w:bookmarkStart w:id="13" w:name="_Toc18530"/>
      <w:r>
        <w:rPr>
          <w:rFonts w:hint="eastAsia" w:ascii="方正小标宋简体" w:hAnsi="仿宋" w:eastAsia="方正小标宋简体" w:cs="宋体"/>
          <w:b/>
          <w:bCs w:val="0"/>
          <w:kern w:val="2"/>
          <w:sz w:val="44"/>
          <w:szCs w:val="44"/>
          <w:lang w:val="en-US" w:eastAsia="zh-CN" w:bidi="ar"/>
        </w:rPr>
        <w:t>支出绩效评价报告</w:t>
      </w:r>
      <w:bookmarkEnd w:id="10"/>
      <w:bookmarkEnd w:id="11"/>
      <w:bookmarkEnd w:id="12"/>
      <w:bookmarkEnd w:id="13"/>
    </w:p>
    <w:p>
      <w:pPr>
        <w:spacing w:line="600" w:lineRule="auto"/>
        <w:jc w:val="center"/>
        <w:rPr>
          <w:rFonts w:cs="仿宋" w:asciiTheme="majorEastAsia" w:hAnsiTheme="majorEastAsia" w:eastAsiaTheme="majorEastAsia"/>
          <w:sz w:val="28"/>
          <w:szCs w:val="28"/>
          <w:u w:val="single"/>
        </w:rPr>
      </w:pPr>
      <w:r>
        <w:rPr>
          <w:rFonts w:hint="eastAsia" w:cs="仿宋" w:asciiTheme="majorEastAsia" w:hAnsiTheme="majorEastAsia" w:eastAsiaTheme="majorEastAsia"/>
          <w:sz w:val="28"/>
          <w:szCs w:val="28"/>
          <w:highlight w:val="none"/>
          <w:u w:val="none"/>
        </w:rPr>
        <w:t>国众联咨报字﹝</w:t>
      </w:r>
      <w:r>
        <w:rPr>
          <w:rFonts w:hint="eastAsia" w:cs="仿宋" w:asciiTheme="majorEastAsia" w:hAnsiTheme="majorEastAsia" w:eastAsiaTheme="majorEastAsia"/>
          <w:sz w:val="28"/>
          <w:szCs w:val="28"/>
          <w:highlight w:val="none"/>
          <w:u w:val="none"/>
          <w:lang w:val="en-US" w:eastAsia="zh-CN"/>
        </w:rPr>
        <w:t>2024</w:t>
      </w:r>
      <w:r>
        <w:rPr>
          <w:rFonts w:hint="eastAsia" w:cs="仿宋" w:asciiTheme="majorEastAsia" w:hAnsiTheme="majorEastAsia" w:eastAsiaTheme="majorEastAsia"/>
          <w:sz w:val="28"/>
          <w:szCs w:val="28"/>
          <w:highlight w:val="none"/>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0031</w:t>
      </w:r>
      <w:r>
        <w:rPr>
          <w:rFonts w:hint="eastAsia" w:cs="仿宋" w:asciiTheme="majorEastAsia" w:hAnsiTheme="majorEastAsia" w:eastAsiaTheme="majorEastAsia"/>
          <w:sz w:val="28"/>
          <w:szCs w:val="28"/>
          <w:highlight w:val="none"/>
          <w:u w:val="none"/>
        </w:rPr>
        <w:t>号</w:t>
      </w:r>
    </w:p>
    <w:p>
      <w:pPr>
        <w:spacing w:line="220" w:lineRule="atLeast"/>
        <w:ind w:right="-460" w:rightChars="-219"/>
        <w:rPr>
          <w:rFonts w:ascii="Times New Roman" w:hAnsi="Times New Roman" w:eastAsia="黑体" w:cs="Times New Roman"/>
          <w:sz w:val="44"/>
          <w:szCs w:val="44"/>
        </w:rPr>
      </w:pPr>
    </w:p>
    <w:p>
      <w:pPr>
        <w:spacing w:line="220" w:lineRule="atLeast"/>
        <w:rPr>
          <w:rFonts w:ascii="Times New Roman" w:hAnsi="Times New Roman" w:eastAsia="黑体" w:cs="Times New Roman"/>
          <w:sz w:val="44"/>
          <w:szCs w:val="44"/>
        </w:rPr>
      </w:pPr>
    </w:p>
    <w:p>
      <w:pPr>
        <w:spacing w:line="220" w:lineRule="atLeast"/>
        <w:rPr>
          <w:rFonts w:ascii="Times New Roman" w:hAnsi="Times New Roman" w:eastAsia="黑体" w:cs="Times New Roman"/>
          <w:sz w:val="44"/>
          <w:szCs w:val="44"/>
        </w:rPr>
      </w:pPr>
    </w:p>
    <w:p>
      <w:pPr>
        <w:spacing w:line="220" w:lineRule="atLeast"/>
        <w:rPr>
          <w:rFonts w:ascii="Times New Roman" w:hAnsi="Times New Roman" w:eastAsia="黑体" w:cs="Times New Roman"/>
          <w:sz w:val="44"/>
          <w:szCs w:val="44"/>
        </w:rPr>
      </w:pPr>
    </w:p>
    <w:p>
      <w:pPr>
        <w:spacing w:line="220" w:lineRule="atLeast"/>
        <w:rPr>
          <w:rFonts w:ascii="Times New Roman" w:hAnsi="Times New Roman" w:eastAsia="黑体" w:cs="Times New Roman"/>
          <w:sz w:val="44"/>
          <w:szCs w:val="44"/>
        </w:rPr>
      </w:pPr>
    </w:p>
    <w:p>
      <w:pPr>
        <w:spacing w:line="220" w:lineRule="atLeast"/>
        <w:rPr>
          <w:rFonts w:ascii="Times New Roman" w:hAnsi="Times New Roman" w:eastAsia="黑体" w:cs="Times New Roman"/>
          <w:sz w:val="28"/>
          <w:szCs w:val="28"/>
        </w:rPr>
      </w:pPr>
    </w:p>
    <w:p>
      <w:pPr>
        <w:pStyle w:val="20"/>
      </w:pPr>
    </w:p>
    <w:p>
      <w:pPr>
        <w:pStyle w:val="20"/>
      </w:pPr>
    </w:p>
    <w:p>
      <w:pPr>
        <w:bidi w:val="0"/>
      </w:pPr>
    </w:p>
    <w:p>
      <w:pPr>
        <w:spacing w:line="220" w:lineRule="atLeast"/>
        <w:rPr>
          <w:rFonts w:ascii="Times New Roman" w:hAnsi="Times New Roman" w:eastAsia="黑体" w:cs="Times New Roman"/>
          <w:sz w:val="28"/>
          <w:szCs w:val="28"/>
        </w:rPr>
      </w:pP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项目名称：2022年赣州蓉江新区C1-8幼儿园项目</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项目单位：赣州蓉江新区社会事务管理局</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委托单位：赣州蓉江新区财政局</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评价机构：国众联资产评估土地房地产估价有限公司</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报告日期：二零二三年十二月</w:t>
      </w:r>
    </w:p>
    <w:p>
      <w:pPr>
        <w:pStyle w:val="7"/>
        <w:ind w:firstLine="1968" w:firstLineChars="700"/>
        <w:rPr>
          <w:b/>
          <w:bCs/>
        </w:rPr>
      </w:pPr>
    </w:p>
    <w:p>
      <w:pPr>
        <w:pStyle w:val="7"/>
        <w:ind w:firstLine="1968" w:firstLineChars="700"/>
        <w:rPr>
          <w:b/>
          <w:bCs/>
        </w:rPr>
      </w:pPr>
    </w:p>
    <w:p/>
    <w:sdt>
      <w:sdtPr>
        <w:rPr>
          <w:rFonts w:ascii="宋体" w:hAnsi="宋体" w:eastAsia="宋体"/>
          <w:sz w:val="28"/>
          <w:szCs w:val="28"/>
        </w:rPr>
        <w:id w:val="147451776"/>
        <w:docPartObj>
          <w:docPartGallery w:val="Table of Contents"/>
          <w:docPartUnique/>
        </w:docPartObj>
      </w:sdtPr>
      <w:sdtEndPr>
        <w:rPr>
          <w:rFonts w:hint="eastAsia" w:asciiTheme="minorEastAsia" w:hAnsiTheme="minorEastAsia" w:eastAsiaTheme="minorEastAsia"/>
          <w:b/>
          <w:bCs/>
          <w:sz w:val="28"/>
          <w:szCs w:val="28"/>
        </w:rPr>
      </w:sdtEndPr>
      <w:sdtContent>
        <w:p>
          <w:pPr>
            <w:pStyle w:val="7"/>
            <w:ind w:firstLine="0"/>
            <w:jc w:val="center"/>
            <w:rPr>
              <w:rFonts w:hint="eastAsia" w:asciiTheme="minorEastAsia" w:hAnsiTheme="minorEastAsia" w:eastAsiaTheme="minorEastAsia" w:cstheme="minorBidi"/>
              <w:bCs/>
              <w:kern w:val="2"/>
              <w:sz w:val="30"/>
              <w:szCs w:val="30"/>
              <w:lang w:val="en-US" w:eastAsia="zh-CN" w:bidi="ar-SA"/>
            </w:rPr>
          </w:pPr>
          <w:r>
            <w:rPr>
              <w:rFonts w:asciiTheme="minorEastAsia" w:hAnsiTheme="minorEastAsia"/>
              <w:b/>
              <w:bCs/>
              <w:sz w:val="48"/>
              <w:szCs w:val="48"/>
            </w:rPr>
            <w:t>目</w:t>
          </w:r>
          <w:r>
            <w:rPr>
              <w:rFonts w:hint="eastAsia" w:asciiTheme="minorEastAsia" w:hAnsiTheme="minorEastAsia"/>
              <w:b/>
              <w:bCs/>
              <w:sz w:val="48"/>
              <w:szCs w:val="48"/>
              <w:lang w:val="en-US" w:eastAsia="zh-CN"/>
            </w:rPr>
            <w:t xml:space="preserve"> </w:t>
          </w:r>
          <w:r>
            <w:rPr>
              <w:rFonts w:asciiTheme="minorEastAsia" w:hAnsiTheme="minorEastAsia"/>
              <w:b/>
              <w:bCs/>
              <w:sz w:val="48"/>
              <w:szCs w:val="48"/>
            </w:rPr>
            <w:t>录</w:t>
          </w:r>
          <w:r>
            <w:rPr>
              <w:rFonts w:hint="eastAsia" w:asciiTheme="minorEastAsia" w:hAnsiTheme="minorEastAsia" w:eastAsiaTheme="minorEastAsia"/>
              <w:b/>
              <w:bCs/>
              <w:sz w:val="30"/>
              <w:szCs w:val="30"/>
            </w:rPr>
            <w:fldChar w:fldCharType="begin"/>
          </w:r>
          <w:r>
            <w:rPr>
              <w:rFonts w:hint="eastAsia" w:asciiTheme="minorEastAsia" w:hAnsiTheme="minorEastAsia" w:eastAsiaTheme="minorEastAsia"/>
              <w:b/>
              <w:bCs/>
              <w:sz w:val="30"/>
              <w:szCs w:val="30"/>
            </w:rPr>
            <w:instrText xml:space="preserve">TOC \o "1-2" \h \u </w:instrText>
          </w:r>
          <w:r>
            <w:rPr>
              <w:rFonts w:hint="eastAsia" w:asciiTheme="minorEastAsia" w:hAnsiTheme="minorEastAsia" w:eastAsiaTheme="minorEastAsia"/>
              <w:b/>
              <w:bCs/>
              <w:sz w:val="30"/>
              <w:szCs w:val="30"/>
            </w:rPr>
            <w:fldChar w:fldCharType="separate"/>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_Toc14503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一、基本情况</w:t>
          </w:r>
          <w:r>
            <w:tab/>
          </w:r>
          <w:r>
            <w:fldChar w:fldCharType="begin"/>
          </w:r>
          <w:r>
            <w:instrText xml:space="preserve"> PAGEREF _Toc14503 \h </w:instrText>
          </w:r>
          <w:r>
            <w:fldChar w:fldCharType="separate"/>
          </w:r>
          <w:r>
            <w:t>2</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_Toc30051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二、绩效评价</w:t>
          </w:r>
          <w:r>
            <w:tab/>
          </w:r>
          <w:r>
            <w:fldChar w:fldCharType="begin"/>
          </w:r>
          <w:r>
            <w:instrText xml:space="preserve"> PAGEREF _Toc30051 \h </w:instrText>
          </w:r>
          <w:r>
            <w:fldChar w:fldCharType="separate"/>
          </w:r>
          <w:r>
            <w:t>3</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_Toc6457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2.1、绩效评价依据</w:t>
          </w:r>
          <w:r>
            <w:tab/>
          </w:r>
          <w:r>
            <w:fldChar w:fldCharType="begin"/>
          </w:r>
          <w:r>
            <w:instrText xml:space="preserve"> PAGEREF _Toc6457 \h </w:instrText>
          </w:r>
          <w:r>
            <w:fldChar w:fldCharType="separate"/>
          </w:r>
          <w:r>
            <w:t>3</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_Toc10313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2.2、绩效评价目的</w:t>
          </w:r>
          <w:r>
            <w:tab/>
          </w:r>
          <w:r>
            <w:fldChar w:fldCharType="begin"/>
          </w:r>
          <w:r>
            <w:instrText xml:space="preserve"> PAGEREF _Toc10313 \h </w:instrText>
          </w:r>
          <w:r>
            <w:fldChar w:fldCharType="separate"/>
          </w:r>
          <w:r>
            <w:t>4</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_Toc12630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2.3、绩效评价原则、绩效评价实施过程</w:t>
          </w:r>
          <w:r>
            <w:tab/>
          </w:r>
          <w:r>
            <w:fldChar w:fldCharType="begin"/>
          </w:r>
          <w:r>
            <w:instrText xml:space="preserve"> PAGEREF _Toc12630 \h </w:instrText>
          </w:r>
          <w:r>
            <w:fldChar w:fldCharType="separate"/>
          </w:r>
          <w:r>
            <w:t>4</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_Toc16804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三、评价情况</w:t>
          </w:r>
          <w:r>
            <w:tab/>
          </w:r>
          <w:r>
            <w:fldChar w:fldCharType="begin"/>
          </w:r>
          <w:r>
            <w:instrText xml:space="preserve"> PAGEREF _Toc16804 \h </w:instrText>
          </w:r>
          <w:r>
            <w:fldChar w:fldCharType="separate"/>
          </w:r>
          <w:r>
            <w:t>6</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_Toc25544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3.1、专项债发行目的分析</w:t>
          </w:r>
          <w:r>
            <w:tab/>
          </w:r>
          <w:r>
            <w:fldChar w:fldCharType="begin"/>
          </w:r>
          <w:r>
            <w:instrText xml:space="preserve"> PAGEREF _Toc25544 \h </w:instrText>
          </w:r>
          <w:r>
            <w:fldChar w:fldCharType="separate"/>
          </w:r>
          <w:r>
            <w:t>6</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_Toc17381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3.2、评价思路方法</w:t>
          </w:r>
          <w:r>
            <w:tab/>
          </w:r>
          <w:r>
            <w:fldChar w:fldCharType="begin"/>
          </w:r>
          <w:r>
            <w:instrText xml:space="preserve"> PAGEREF _Toc17381 \h </w:instrText>
          </w:r>
          <w:r>
            <w:fldChar w:fldCharType="separate"/>
          </w:r>
          <w:r>
            <w:t>7</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_Toc20700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3.3、绩效评价结论</w:t>
          </w:r>
          <w:r>
            <w:tab/>
          </w:r>
          <w:r>
            <w:fldChar w:fldCharType="begin"/>
          </w:r>
          <w:r>
            <w:instrText xml:space="preserve"> PAGEREF _Toc20700 \h </w:instrText>
          </w:r>
          <w:r>
            <w:fldChar w:fldCharType="separate"/>
          </w:r>
          <w:r>
            <w:t>7</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_Toc24384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四、 立项依据</w:t>
          </w:r>
          <w:r>
            <w:tab/>
          </w:r>
          <w:r>
            <w:fldChar w:fldCharType="begin"/>
          </w:r>
          <w:r>
            <w:instrText xml:space="preserve"> PAGEREF _Toc24384 \h </w:instrText>
          </w:r>
          <w:r>
            <w:fldChar w:fldCharType="separate"/>
          </w:r>
          <w:r>
            <w:t>7</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_Toc7343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五、 专项债资金情况</w:t>
          </w:r>
          <w:r>
            <w:tab/>
          </w:r>
          <w:r>
            <w:fldChar w:fldCharType="begin"/>
          </w:r>
          <w:r>
            <w:instrText xml:space="preserve"> PAGEREF _Toc7343 \h </w:instrText>
          </w:r>
          <w:r>
            <w:fldChar w:fldCharType="separate"/>
          </w:r>
          <w:r>
            <w:t>7</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_Toc20804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5.1、专项债发行主体资格</w:t>
          </w:r>
          <w:r>
            <w:tab/>
          </w:r>
          <w:r>
            <w:fldChar w:fldCharType="begin"/>
          </w:r>
          <w:r>
            <w:instrText xml:space="preserve"> PAGEREF _Toc20804 \h </w:instrText>
          </w:r>
          <w:r>
            <w:fldChar w:fldCharType="separate"/>
          </w:r>
          <w:r>
            <w:t>7</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_Toc14541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5.2、专项债发行计划</w:t>
          </w:r>
          <w:r>
            <w:tab/>
          </w:r>
          <w:r>
            <w:fldChar w:fldCharType="begin"/>
          </w:r>
          <w:r>
            <w:instrText xml:space="preserve"> PAGEREF _Toc14541 \h </w:instrText>
          </w:r>
          <w:r>
            <w:fldChar w:fldCharType="separate"/>
          </w:r>
          <w:r>
            <w:t>8</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_Toc20101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5.3、专项债资金到位情况</w:t>
          </w:r>
          <w:r>
            <w:tab/>
          </w:r>
          <w:r>
            <w:fldChar w:fldCharType="begin"/>
          </w:r>
          <w:r>
            <w:instrText xml:space="preserve"> PAGEREF _Toc20101 \h </w:instrText>
          </w:r>
          <w:r>
            <w:fldChar w:fldCharType="separate"/>
          </w:r>
          <w:r>
            <w:t>8</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_Toc21457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5.4、专项债资金具体的支付方案</w:t>
          </w:r>
          <w:r>
            <w:tab/>
          </w:r>
          <w:r>
            <w:fldChar w:fldCharType="begin"/>
          </w:r>
          <w:r>
            <w:instrText xml:space="preserve"> PAGEREF _Toc21457 \h </w:instrText>
          </w:r>
          <w:r>
            <w:fldChar w:fldCharType="separate"/>
          </w:r>
          <w:r>
            <w:t>8</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_Toc11842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六、项目绩效总目标</w:t>
          </w:r>
          <w:r>
            <w:tab/>
          </w:r>
          <w:r>
            <w:fldChar w:fldCharType="begin"/>
          </w:r>
          <w:r>
            <w:instrText xml:space="preserve"> PAGEREF _Toc11842 \h </w:instrText>
          </w:r>
          <w:r>
            <w:fldChar w:fldCharType="separate"/>
          </w:r>
          <w:r>
            <w:t>9</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_Toc26338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七、项目风险评估及控制措施</w:t>
          </w:r>
          <w:r>
            <w:tab/>
          </w:r>
          <w:r>
            <w:fldChar w:fldCharType="begin"/>
          </w:r>
          <w:r>
            <w:instrText xml:space="preserve"> PAGEREF _Toc26338 \h </w:instrText>
          </w:r>
          <w:r>
            <w:fldChar w:fldCharType="separate"/>
          </w:r>
          <w:r>
            <w:t>9</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_Toc4190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7.1、资金筹措风险</w:t>
          </w:r>
          <w:r>
            <w:tab/>
          </w:r>
          <w:r>
            <w:fldChar w:fldCharType="begin"/>
          </w:r>
          <w:r>
            <w:instrText xml:space="preserve"> PAGEREF _Toc4190 \h </w:instrText>
          </w:r>
          <w:r>
            <w:fldChar w:fldCharType="separate"/>
          </w:r>
          <w:r>
            <w:t>9</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_Toc22594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7.2、资金管理风险</w:t>
          </w:r>
          <w:r>
            <w:tab/>
          </w:r>
          <w:r>
            <w:fldChar w:fldCharType="begin"/>
          </w:r>
          <w:r>
            <w:instrText xml:space="preserve"> PAGEREF _Toc22594 \h </w:instrText>
          </w:r>
          <w:r>
            <w:fldChar w:fldCharType="separate"/>
          </w:r>
          <w:r>
            <w:t>10</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_Toc14395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八、风险应对措施</w:t>
          </w:r>
          <w:r>
            <w:tab/>
          </w:r>
          <w:r>
            <w:fldChar w:fldCharType="begin"/>
          </w:r>
          <w:r>
            <w:instrText xml:space="preserve"> PAGEREF _Toc14395 \h </w:instrText>
          </w:r>
          <w:r>
            <w:fldChar w:fldCharType="separate"/>
          </w:r>
          <w:r>
            <w:t>10</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_Toc9046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8.1、资金筹措风险应对措施</w:t>
          </w:r>
          <w:r>
            <w:tab/>
          </w:r>
          <w:r>
            <w:fldChar w:fldCharType="begin"/>
          </w:r>
          <w:r>
            <w:instrText xml:space="preserve"> PAGEREF _Toc9046 \h </w:instrText>
          </w:r>
          <w:r>
            <w:fldChar w:fldCharType="separate"/>
          </w:r>
          <w:r>
            <w:t>10</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_Toc27430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8.2、资金管理风险应对措施</w:t>
          </w:r>
          <w:r>
            <w:tab/>
          </w:r>
          <w:r>
            <w:fldChar w:fldCharType="begin"/>
          </w:r>
          <w:r>
            <w:instrText xml:space="preserve"> PAGEREF _Toc27430 \h </w:instrText>
          </w:r>
          <w:r>
            <w:fldChar w:fldCharType="separate"/>
          </w:r>
          <w:r>
            <w:t>10</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_Toc14785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九、评价结论</w:t>
          </w:r>
          <w:r>
            <w:tab/>
          </w:r>
          <w:r>
            <w:fldChar w:fldCharType="begin"/>
          </w:r>
          <w:r>
            <w:instrText xml:space="preserve"> PAGEREF _Toc14785 \h </w:instrText>
          </w:r>
          <w:r>
            <w:fldChar w:fldCharType="separate"/>
          </w:r>
          <w:r>
            <w:t>11</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_Toc22397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十、存在的问题和建议</w:t>
          </w:r>
          <w:r>
            <w:tab/>
          </w:r>
          <w:r>
            <w:fldChar w:fldCharType="begin"/>
          </w:r>
          <w:r>
            <w:instrText xml:space="preserve"> PAGEREF _Toc22397 \h </w:instrText>
          </w:r>
          <w:r>
            <w:fldChar w:fldCharType="separate"/>
          </w:r>
          <w:r>
            <w:t>11</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_Toc11919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10.1、存在的主要问题</w:t>
          </w:r>
          <w:r>
            <w:tab/>
          </w:r>
          <w:r>
            <w:fldChar w:fldCharType="begin"/>
          </w:r>
          <w:r>
            <w:instrText xml:space="preserve"> PAGEREF _Toc11919 \h </w:instrText>
          </w:r>
          <w:r>
            <w:fldChar w:fldCharType="separate"/>
          </w:r>
          <w:r>
            <w:t>12</w:t>
          </w:r>
          <w:r>
            <w:fldChar w:fldCharType="end"/>
          </w:r>
          <w:r>
            <w:rPr>
              <w:rFonts w:hint="eastAsia" w:asciiTheme="minorEastAsia" w:hAnsiTheme="minorEastAsia"/>
              <w:bCs/>
              <w:szCs w:val="30"/>
            </w:rPr>
            <w:fldChar w:fldCharType="end"/>
          </w:r>
        </w:p>
        <w:p>
          <w:pPr>
            <w:pStyle w:val="14"/>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_Toc29114 </w:instrText>
          </w:r>
          <w:r>
            <w:rPr>
              <w:rFonts w:hint="eastAsia" w:asciiTheme="minorEastAsia" w:hAnsiTheme="minorEastAsia"/>
              <w:bCs/>
              <w:szCs w:val="30"/>
            </w:rPr>
            <w:fldChar w:fldCharType="separate"/>
          </w:r>
          <w:r>
            <w:rPr>
              <w:rFonts w:hint="eastAsia" w:ascii="楷体_GB2312" w:hAnsi="楷体_GB2312" w:eastAsia="楷体_GB2312" w:cs="楷体_GB2312"/>
              <w:szCs w:val="32"/>
              <w:lang w:val="en-US" w:eastAsia="zh-CN"/>
            </w:rPr>
            <w:t>10.2、建议</w:t>
          </w:r>
          <w:r>
            <w:tab/>
          </w:r>
          <w:r>
            <w:fldChar w:fldCharType="begin"/>
          </w:r>
          <w:r>
            <w:instrText xml:space="preserve"> PAGEREF _Toc29114 \h </w:instrText>
          </w:r>
          <w:r>
            <w:fldChar w:fldCharType="separate"/>
          </w:r>
          <w:r>
            <w:t>12</w:t>
          </w:r>
          <w:r>
            <w:fldChar w:fldCharType="end"/>
          </w:r>
          <w:r>
            <w:rPr>
              <w:rFonts w:hint="eastAsia" w:asciiTheme="minorEastAsia" w:hAnsiTheme="minorEastAsia"/>
              <w:bCs/>
              <w:szCs w:val="30"/>
            </w:rPr>
            <w:fldChar w:fldCharType="end"/>
          </w:r>
        </w:p>
        <w:p>
          <w:pPr>
            <w:pStyle w:val="13"/>
            <w:tabs>
              <w:tab w:val="right" w:leader="dot" w:pos="8958"/>
            </w:tabs>
          </w:pPr>
          <w:r>
            <w:rPr>
              <w:rFonts w:hint="eastAsia" w:asciiTheme="minorEastAsia" w:hAnsiTheme="minorEastAsia"/>
              <w:bCs/>
              <w:szCs w:val="30"/>
            </w:rPr>
            <w:fldChar w:fldCharType="begin"/>
          </w:r>
          <w:r>
            <w:rPr>
              <w:rFonts w:hint="eastAsia" w:asciiTheme="minorEastAsia" w:hAnsiTheme="minorEastAsia"/>
              <w:bCs/>
              <w:szCs w:val="30"/>
            </w:rPr>
            <w:instrText xml:space="preserve"> HYPERLINK \l _Toc899 </w:instrText>
          </w:r>
          <w:r>
            <w:rPr>
              <w:rFonts w:hint="eastAsia" w:asciiTheme="minorEastAsia" w:hAnsiTheme="minorEastAsia"/>
              <w:bCs/>
              <w:szCs w:val="30"/>
            </w:rPr>
            <w:fldChar w:fldCharType="separate"/>
          </w:r>
          <w:r>
            <w:rPr>
              <w:rFonts w:hint="eastAsia" w:ascii="黑体" w:hAnsi="宋体" w:eastAsia="黑体" w:cs="宋体"/>
              <w:bCs/>
              <w:kern w:val="2"/>
              <w:szCs w:val="32"/>
              <w:lang w:val="en-US" w:eastAsia="zh-CN" w:bidi="ar"/>
            </w:rPr>
            <w:t>十一、其他需要说明的问题</w:t>
          </w:r>
          <w:r>
            <w:tab/>
          </w:r>
          <w:r>
            <w:fldChar w:fldCharType="begin"/>
          </w:r>
          <w:r>
            <w:instrText xml:space="preserve"> PAGEREF _Toc899 \h </w:instrText>
          </w:r>
          <w:r>
            <w:fldChar w:fldCharType="separate"/>
          </w:r>
          <w:r>
            <w:t>14</w:t>
          </w:r>
          <w:r>
            <w:fldChar w:fldCharType="end"/>
          </w:r>
          <w:r>
            <w:rPr>
              <w:rFonts w:hint="eastAsia" w:asciiTheme="minorEastAsia" w:hAnsiTheme="minorEastAsia"/>
              <w:bCs/>
              <w:szCs w:val="30"/>
            </w:rPr>
            <w:fldChar w:fldCharType="end"/>
          </w:r>
        </w:p>
        <w:p>
          <w:pPr>
            <w:ind w:firstLine="0"/>
            <w:jc w:val="both"/>
            <w:rPr>
              <w:rFonts w:asciiTheme="minorEastAsia" w:hAnsiTheme="minorEastAsia"/>
              <w:b/>
              <w:bCs/>
            </w:rPr>
            <w:sectPr>
              <w:headerReference r:id="rId4" w:type="first"/>
              <w:headerReference r:id="rId3" w:type="default"/>
              <w:pgSz w:w="11906" w:h="16838"/>
              <w:pgMar w:top="1417" w:right="1474" w:bottom="1417" w:left="1474" w:header="794" w:footer="822" w:gutter="0"/>
              <w:cols w:space="0" w:num="1"/>
              <w:titlePg/>
              <w:rtlGutter w:val="0"/>
              <w:docGrid w:type="lines" w:linePitch="312" w:charSpace="0"/>
            </w:sectPr>
          </w:pPr>
          <w:r>
            <w:rPr>
              <w:rFonts w:hint="eastAsia" w:asciiTheme="minorEastAsia" w:hAnsiTheme="minorEastAsia"/>
              <w:bCs/>
              <w:sz w:val="30"/>
              <w:szCs w:val="30"/>
            </w:rPr>
            <w:fldChar w:fldCharType="end"/>
          </w:r>
        </w:p>
      </w:sdtContent>
    </w:sdt>
    <w:p>
      <w:pPr>
        <w:pStyle w:val="7"/>
        <w:ind w:firstLine="0"/>
        <w:jc w:val="center"/>
        <w:outlineLvl w:val="9"/>
        <w:rPr>
          <w:rFonts w:hint="eastAsia" w:ascii="方正小标宋简体" w:hAnsi="仿宋" w:eastAsia="方正小标宋简体" w:cs="宋体"/>
          <w:b/>
          <w:bCs w:val="0"/>
          <w:kern w:val="2"/>
          <w:sz w:val="44"/>
          <w:szCs w:val="44"/>
          <w:lang w:val="en-US" w:eastAsia="zh-CN" w:bidi="ar"/>
        </w:rPr>
      </w:pPr>
      <w:bookmarkStart w:id="14" w:name="_Toc28505"/>
      <w:r>
        <w:rPr>
          <w:rFonts w:hint="eastAsia" w:ascii="方正小标宋简体" w:hAnsi="仿宋" w:eastAsia="方正小标宋简体" w:cs="宋体"/>
          <w:b/>
          <w:bCs w:val="0"/>
          <w:kern w:val="2"/>
          <w:sz w:val="44"/>
          <w:szCs w:val="44"/>
          <w:lang w:val="en-US" w:eastAsia="zh-CN" w:bidi="ar"/>
        </w:rPr>
        <w:t>前言</w:t>
      </w:r>
      <w:bookmarkEnd w:id="14"/>
    </w:p>
    <w:p>
      <w:pPr>
        <w:bidi w:val="0"/>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进一步管理和使用好财政资金，提高专项资金使用效益和项目管理水平，根据《中共中央国务院关于全面实施预算绩效管理的意见》（中发〔2018〕34号）、财政部《项目支出绩效评价管理办法》（财预〔2020〕10号）、《中共江西省委江西省人民政府关于全面实施预算绩效管理的实施意见》、中共赣州蓉江新区工作委员会《赣州蓉江新区管理委员会关于全面实施预算管理的实施意见》（赣蓉党发〔2020〕1号）等文件要求，国众联资产评估土地房地产估价有限公司接受委托于2023年12月对赣州蓉江新区C1-8幼儿园项目使用2022年蓉江新区地方政府专项债券（2200万元)）出进行绩效评价。</w:t>
      </w:r>
    </w:p>
    <w:p>
      <w:pPr>
        <w:pStyle w:val="6"/>
        <w:rPr>
          <w:rFonts w:cs="楷体_GB2312" w:asciiTheme="minorEastAsia" w:hAnsiTheme="minorEastAsia"/>
          <w:sz w:val="28"/>
          <w:szCs w:val="28"/>
        </w:rPr>
      </w:pPr>
    </w:p>
    <w:p>
      <w:pPr>
        <w:pStyle w:val="7"/>
        <w:rPr>
          <w:rFonts w:cs="楷体_GB2312" w:asciiTheme="minorEastAsia" w:hAnsiTheme="minorEastAsia"/>
        </w:rPr>
      </w:pPr>
    </w:p>
    <w:p>
      <w:pPr>
        <w:pStyle w:val="7"/>
        <w:rPr>
          <w:rFonts w:cs="楷体_GB2312" w:asciiTheme="minorEastAsia" w:hAnsiTheme="minorEastAsia"/>
        </w:rPr>
      </w:pPr>
    </w:p>
    <w:p>
      <w:pPr>
        <w:pStyle w:val="7"/>
        <w:rPr>
          <w:rFonts w:cs="楷体_GB2312" w:asciiTheme="minorEastAsia" w:hAnsiTheme="minorEastAsia"/>
        </w:rPr>
      </w:pPr>
    </w:p>
    <w:p>
      <w:pPr>
        <w:pStyle w:val="7"/>
        <w:rPr>
          <w:rFonts w:cs="楷体_GB2312" w:asciiTheme="minorEastAsia" w:hAnsiTheme="minorEastAsia"/>
        </w:rPr>
      </w:pPr>
    </w:p>
    <w:p>
      <w:pPr>
        <w:pStyle w:val="7"/>
        <w:rPr>
          <w:rFonts w:cs="楷体_GB2312" w:asciiTheme="minorEastAsia" w:hAnsiTheme="minorEastAsia"/>
        </w:rPr>
      </w:pPr>
    </w:p>
    <w:p>
      <w:pPr>
        <w:pStyle w:val="7"/>
        <w:ind w:firstLine="0"/>
        <w:rPr>
          <w:rFonts w:cs="楷体_GB2312" w:asciiTheme="minorEastAsia" w:hAnsiTheme="minorEastAsia"/>
        </w:rPr>
      </w:pPr>
    </w:p>
    <w:p>
      <w:pPr>
        <w:pStyle w:val="7"/>
        <w:ind w:firstLine="0"/>
        <w:rPr>
          <w:rFonts w:cs="楷体_GB2312" w:asciiTheme="minorEastAsia" w:hAnsiTheme="minorEastAsia"/>
        </w:rPr>
      </w:pPr>
      <w:bookmarkStart w:id="15" w:name="_Toc4340"/>
      <w:bookmarkStart w:id="16" w:name="_Toc14992"/>
      <w:bookmarkStart w:id="17" w:name="_Toc4688"/>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0"/>
        <w:rPr>
          <w:rFonts w:hint="eastAsia" w:ascii="方正小标宋简体" w:hAnsi="仿宋" w:eastAsia="方正小标宋简体" w:cs="宋体"/>
          <w:b/>
          <w:bCs w:val="0"/>
          <w:kern w:val="2"/>
          <w:sz w:val="44"/>
          <w:szCs w:val="44"/>
          <w:lang w:val="en-US" w:eastAsia="zh-CN" w:bidi="ar"/>
        </w:rPr>
        <w:sectPr>
          <w:footerReference r:id="rId5" w:type="default"/>
          <w:pgSz w:w="11906" w:h="16838"/>
          <w:pgMar w:top="1417" w:right="1474" w:bottom="1417" w:left="1474" w:header="794" w:footer="822" w:gutter="0"/>
          <w:pgNumType w:fmt="decimal" w:start="1"/>
          <w:cols w:space="0" w:num="1"/>
          <w:rtlGutter w:val="0"/>
          <w:docGrid w:type="lines" w:linePitch="312" w:charSpace="0"/>
        </w:sectPr>
      </w:pPr>
      <w:bookmarkStart w:id="18" w:name="_Toc1513"/>
      <w:bookmarkStart w:id="19" w:name="_Toc6546"/>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9"/>
        <w:rPr>
          <w:rFonts w:hint="eastAsia" w:ascii="方正小标宋简体" w:hAnsi="仿宋" w:eastAsia="方正小标宋简体" w:cs="宋体"/>
          <w:b/>
          <w:bCs w:val="0"/>
          <w:kern w:val="2"/>
          <w:sz w:val="44"/>
          <w:szCs w:val="44"/>
          <w:lang w:val="en-US" w:eastAsia="zh-CN" w:bidi="ar"/>
        </w:rPr>
      </w:pPr>
      <w:r>
        <w:rPr>
          <w:rFonts w:hint="eastAsia" w:ascii="方正小标宋简体" w:hAnsi="仿宋" w:eastAsia="方正小标宋简体" w:cs="宋体"/>
          <w:b/>
          <w:bCs w:val="0"/>
          <w:kern w:val="2"/>
          <w:sz w:val="44"/>
          <w:szCs w:val="44"/>
          <w:lang w:val="en-US" w:eastAsia="zh-CN" w:bidi="ar"/>
        </w:rPr>
        <w:t>赣州蓉江新区2022年C1-8幼儿园项目</w:t>
      </w:r>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9"/>
        <w:rPr>
          <w:rFonts w:hint="eastAsia" w:ascii="方正小标宋简体" w:hAnsi="仿宋" w:eastAsia="方正小标宋简体" w:cs="宋体"/>
          <w:b/>
          <w:bCs w:val="0"/>
          <w:kern w:val="2"/>
          <w:sz w:val="44"/>
          <w:szCs w:val="44"/>
          <w:lang w:val="en-US" w:eastAsia="zh-CN" w:bidi="ar"/>
        </w:rPr>
      </w:pPr>
      <w:r>
        <w:rPr>
          <w:rFonts w:hint="eastAsia" w:ascii="方正小标宋简体" w:hAnsi="仿宋" w:eastAsia="方正小标宋简体" w:cs="宋体"/>
          <w:b/>
          <w:bCs w:val="0"/>
          <w:kern w:val="2"/>
          <w:sz w:val="44"/>
          <w:szCs w:val="44"/>
          <w:lang w:val="en-US" w:eastAsia="zh-CN" w:bidi="ar"/>
        </w:rPr>
        <w:t>支出绩效评价报告</w:t>
      </w:r>
      <w:bookmarkEnd w:id="18"/>
    </w:p>
    <w:p>
      <w:pPr>
        <w:spacing w:line="600" w:lineRule="auto"/>
        <w:jc w:val="center"/>
      </w:pPr>
      <w:r>
        <w:rPr>
          <w:rFonts w:hint="eastAsia" w:cs="仿宋" w:asciiTheme="majorEastAsia" w:hAnsiTheme="majorEastAsia" w:eastAsiaTheme="majorEastAsia"/>
          <w:sz w:val="28"/>
          <w:szCs w:val="28"/>
          <w:highlight w:val="none"/>
          <w:u w:val="none"/>
        </w:rPr>
        <w:t>国众联咨报字﹝</w:t>
      </w:r>
      <w:r>
        <w:rPr>
          <w:rFonts w:hint="eastAsia" w:cs="仿宋" w:asciiTheme="majorEastAsia" w:hAnsiTheme="majorEastAsia" w:eastAsiaTheme="majorEastAsia"/>
          <w:sz w:val="28"/>
          <w:szCs w:val="28"/>
          <w:highlight w:val="none"/>
          <w:u w:val="none"/>
          <w:lang w:val="en-US" w:eastAsia="zh-CN"/>
        </w:rPr>
        <w:t>2024</w:t>
      </w:r>
      <w:r>
        <w:rPr>
          <w:rFonts w:hint="eastAsia" w:cs="仿宋" w:asciiTheme="majorEastAsia" w:hAnsiTheme="majorEastAsia" w:eastAsiaTheme="majorEastAsia"/>
          <w:sz w:val="28"/>
          <w:szCs w:val="28"/>
          <w:highlight w:val="none"/>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0031</w:t>
      </w:r>
      <w:r>
        <w:rPr>
          <w:rFonts w:hint="eastAsia" w:cs="仿宋" w:asciiTheme="majorEastAsia" w:hAnsiTheme="majorEastAsia" w:eastAsiaTheme="majorEastAsia"/>
          <w:sz w:val="28"/>
          <w:szCs w:val="28"/>
          <w:highlight w:val="none"/>
          <w:u w:val="none"/>
        </w:rPr>
        <w:t>号</w:t>
      </w:r>
    </w:p>
    <w:p>
      <w:pPr>
        <w:keepNext w:val="0"/>
        <w:keepLines w:val="0"/>
        <w:widowControl w:val="0"/>
        <w:suppressLineNumbers w:val="0"/>
        <w:spacing w:before="0" w:beforeAutospacing="0" w:after="0" w:afterAutospacing="0" w:line="560" w:lineRule="exact"/>
        <w:ind w:left="0" w:right="0"/>
        <w:jc w:val="both"/>
        <w:outlineLvl w:val="9"/>
        <w:rPr>
          <w:rFonts w:hint="eastAsia" w:ascii="黑体" w:hAnsi="宋体" w:eastAsia="黑体" w:cs="宋体"/>
          <w:bCs/>
          <w:kern w:val="2"/>
          <w:sz w:val="32"/>
          <w:szCs w:val="32"/>
          <w:lang w:val="en-US" w:eastAsia="zh-CN" w:bidi="ar"/>
        </w:rPr>
      </w:pPr>
      <w:bookmarkStart w:id="20" w:name="_Toc4708"/>
      <w:bookmarkStart w:id="21" w:name="_Toc24581"/>
      <w:r>
        <w:rPr>
          <w:rFonts w:hint="eastAsia" w:ascii="黑体" w:hAnsi="宋体" w:eastAsia="黑体" w:cs="宋体"/>
          <w:bCs/>
          <w:kern w:val="2"/>
          <w:sz w:val="32"/>
          <w:szCs w:val="32"/>
          <w:lang w:val="en-US" w:eastAsia="zh-CN" w:bidi="ar"/>
        </w:rPr>
        <w:t>赣州蓉江新区财政局：</w:t>
      </w:r>
      <w:bookmarkEnd w:id="20"/>
      <w:bookmarkEnd w:id="21"/>
    </w:p>
    <w:p>
      <w:pPr>
        <w:pStyle w:val="15"/>
        <w:spacing w:before="76" w:beforeAutospacing="0" w:after="0" w:afterAutospacing="0" w:line="30" w:lineRule="atLeast"/>
        <w:ind w:firstLine="640" w:firstLineChars="200"/>
        <w:jc w:val="both"/>
        <w:textAlignment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贯彻落实全面推进预算绩效管理工作的要求，完善部门预算管理，强化预算支出责任，提高财政资金的使用效益，根据《中共中央国务院关于全面实施预算绩效管理的意见》（中发〔2018〕34号）等文件要求，受贵局的委托，国众联资产评估土地房地产估价有限公司以第三方社会机构的身份，承担了2022年赣州蓉江新区C1-8幼儿园项目支出绩效评价报告（以下简称“C1-8幼儿园”）整体支出的绩效评价工作。本次绩效评价工作严格依照相关法律法规的规定，遵循“独立、客观、公正、科学”的原则进行。</w:t>
      </w:r>
    </w:p>
    <w:p>
      <w:pPr>
        <w:pStyle w:val="15"/>
        <w:spacing w:before="76" w:beforeAutospacing="0" w:after="0" w:afterAutospacing="0" w:line="30" w:lineRule="atLeast"/>
        <w:ind w:firstLine="640" w:firstLineChars="200"/>
        <w:jc w:val="both"/>
        <w:textAlignment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接受委托任务后于2023年12月开始，抽调精干人员力量组成绩效评价组，精心制定绩效评价方案，通过访谈、发放调查问卷、查阅文件文献、现场调研等方式，充分了解和掌握了被评价单位的相关情况后，按照绩效评价指标体系，对被评价项目支出取得的成效与经验、存在的问题进行归纳总结，并提出相关建议，得出评价结论。</w:t>
      </w:r>
    </w:p>
    <w:p>
      <w:pPr>
        <w:pStyle w:val="15"/>
        <w:spacing w:before="76" w:beforeAutospacing="0" w:after="0" w:afterAutospacing="0" w:line="30" w:lineRule="atLeast"/>
        <w:ind w:firstLine="640" w:firstLineChars="200"/>
        <w:jc w:val="both"/>
        <w:textAlignment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评价组以绩效评价指标体系要求为基础进行资料收集，收集了被评价单位实施过程中的各项资料，对被评价单位相关负责人进行访谈、开展满意度调查工作等，在此基础上形成《2022年赣州蓉江新区C1-8幼儿园项目支出绩效评价报告》。</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22" w:name="_Toc14503"/>
      <w:r>
        <w:rPr>
          <w:rFonts w:hint="eastAsia" w:ascii="黑体" w:hAnsi="宋体" w:eastAsia="黑体" w:cs="宋体"/>
          <w:bCs/>
          <w:kern w:val="2"/>
          <w:sz w:val="32"/>
          <w:szCs w:val="32"/>
          <w:lang w:val="en-US" w:eastAsia="zh-CN" w:bidi="ar"/>
        </w:rPr>
        <w:t>一、基本情况</w:t>
      </w:r>
      <w:bookmarkEnd w:id="15"/>
      <w:bookmarkEnd w:id="16"/>
      <w:bookmarkEnd w:id="17"/>
      <w:bookmarkEnd w:id="19"/>
      <w:bookmarkEnd w:id="22"/>
    </w:p>
    <w:p>
      <w:pPr>
        <w:ind w:firstLine="640" w:firstLineChars="200"/>
        <w:outlineLvl w:val="9"/>
        <w:rPr>
          <w:rFonts w:hint="eastAsia" w:ascii="仿宋_GB2312" w:hAnsi="Times New Roman" w:eastAsia="仿宋_GB2312" w:cs="Times New Roman"/>
          <w:kern w:val="2"/>
          <w:sz w:val="32"/>
          <w:szCs w:val="32"/>
          <w:lang w:val="en-US" w:eastAsia="zh-CN" w:bidi="ar-SA"/>
        </w:rPr>
      </w:pPr>
      <w:bookmarkStart w:id="23" w:name="_Toc18562"/>
      <w:bookmarkStart w:id="24" w:name="_Toc9094"/>
      <w:bookmarkStart w:id="25" w:name="_Toc15504"/>
      <w:bookmarkStart w:id="26" w:name="_Toc19605"/>
      <w:bookmarkStart w:id="27" w:name="_Toc4237"/>
      <w:bookmarkStart w:id="28" w:name="_Toc16961"/>
      <w:bookmarkStart w:id="29" w:name="_Toc19704"/>
      <w:bookmarkStart w:id="30" w:name="_Toc26840"/>
      <w:bookmarkStart w:id="31" w:name="_Toc18127"/>
      <w:r>
        <w:rPr>
          <w:rFonts w:hint="eastAsia" w:ascii="仿宋_GB2312" w:hAnsi="Times New Roman" w:eastAsia="仿宋_GB2312" w:cs="Times New Roman"/>
          <w:kern w:val="2"/>
          <w:sz w:val="32"/>
          <w:szCs w:val="32"/>
          <w:lang w:val="en-US" w:eastAsia="zh-CN" w:bidi="ar-SA"/>
        </w:rPr>
        <w:t>1.1、项目建设地：</w:t>
      </w:r>
      <w:bookmarkEnd w:id="23"/>
      <w:bookmarkEnd w:id="24"/>
      <w:bookmarkEnd w:id="25"/>
      <w:bookmarkEnd w:id="26"/>
      <w:bookmarkEnd w:id="27"/>
      <w:bookmarkEnd w:id="28"/>
      <w:r>
        <w:rPr>
          <w:rFonts w:hint="eastAsia" w:ascii="仿宋_GB2312" w:hAnsi="Times New Roman" w:eastAsia="仿宋_GB2312" w:cs="Times New Roman"/>
          <w:kern w:val="2"/>
          <w:sz w:val="32"/>
          <w:szCs w:val="32"/>
          <w:lang w:val="en-US" w:eastAsia="zh-CN" w:bidi="ar-SA"/>
        </w:rPr>
        <w:t>赣州蓉江新区赣南大道与新时代大道交叉口东北侧。</w:t>
      </w:r>
      <w:bookmarkEnd w:id="29"/>
      <w:bookmarkEnd w:id="30"/>
      <w:bookmarkEnd w:id="31"/>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1.2、建设项目名称：赣州蓉江新区C1-8幼儿园项目。</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1.3、勘察单位：江西金新勘测工程有限公司。</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1.4、设计单位：赣州市城乡规划设计研究院。</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1.5、建设单位：赣州蓉江新区基础设施建设投资管理有限公司。</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1.6、监理单位：江西同济建设项目管理股份有限公司。</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1.7、施工单位：江西省梦远建设有限公司。</w:t>
      </w:r>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1.8、项目建设期限：本项目建设期为240天。实际开工日期为2021年12月15日，竣工日期为2023年5月16日共用500天（超工期）。</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1.9、建设内容及规模；赣州蓉江新区C1-8幼儿园计划设置9个幼儿班，总用地面积3793㎡，总建筑面积为3406.97㎡（其中计容建筑面积为3043.29㎡）。建设内容主要为一栋三层建筑，包括大厅、晨检室、隔离室、厨房、幼儿活动室、幼儿休息室、模具制作室、音体教室、多功能综合活动室、教师办公室、会议室、其他办公室、卫生间、更衣室、储物间、设备间等，并配套厨房、消防设施、智慧校园与弱电智能化、室外活动设施、室外照明工程、室外市政工程以及园林绿化工程等。</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1.10、项目总投资及资金来源:本次拟发行项目重估后总投资为3010.75万元，按照发行方案及筹资计划，拟通过自筹资金、申请专项债券等途径解决，其一，自筹资金810.75万元；其二，拟发行专项债券2200万元，发行期限30年，2022年第一批次计划发行2200.00万元。</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注：本次仅针对2022已发行专项债2200万元支出进行绩效评价。</w:t>
      </w:r>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1.11、项目实施进度：本项目实际于2021年12月15日开工，竣工日期为2023年5月16日共用500天。已竣工。</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1.12、专项债资金进度：202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年度针对本项目已发行专项债资金</w:t>
      </w:r>
      <w:r>
        <w:rPr>
          <w:rFonts w:hint="eastAsia" w:ascii="仿宋" w:hAnsi="仿宋" w:eastAsia="仿宋" w:cs="仿宋"/>
          <w:sz w:val="32"/>
          <w:szCs w:val="32"/>
          <w:highlight w:val="none"/>
          <w:lang w:val="en-US" w:eastAsia="zh-CN"/>
        </w:rPr>
        <w:t>2200</w:t>
      </w:r>
      <w:r>
        <w:rPr>
          <w:rFonts w:hint="eastAsia" w:ascii="仿宋" w:hAnsi="仿宋" w:eastAsia="仿宋" w:cs="仿宋"/>
          <w:sz w:val="32"/>
          <w:szCs w:val="32"/>
          <w:highlight w:val="none"/>
        </w:rPr>
        <w:t>万元，202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年度已收到专项债资金</w:t>
      </w:r>
      <w:r>
        <w:rPr>
          <w:rFonts w:hint="eastAsia" w:ascii="仿宋" w:hAnsi="仿宋" w:eastAsia="仿宋" w:cs="仿宋"/>
          <w:sz w:val="32"/>
          <w:szCs w:val="32"/>
          <w:highlight w:val="none"/>
          <w:lang w:val="en-US" w:eastAsia="zh-CN"/>
        </w:rPr>
        <w:t>22</w:t>
      </w:r>
      <w:r>
        <w:rPr>
          <w:rFonts w:hint="eastAsia" w:ascii="仿宋" w:hAnsi="仿宋" w:eastAsia="仿宋" w:cs="仿宋"/>
          <w:sz w:val="32"/>
          <w:szCs w:val="32"/>
          <w:highlight w:val="none"/>
        </w:rPr>
        <w:t>00万元。202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年度使用专项债资金</w:t>
      </w:r>
      <w:r>
        <w:rPr>
          <w:rFonts w:hint="eastAsia" w:ascii="仿宋" w:hAnsi="仿宋" w:eastAsia="仿宋" w:cs="仿宋"/>
          <w:sz w:val="32"/>
          <w:szCs w:val="32"/>
          <w:highlight w:val="none"/>
          <w:lang w:val="en-US" w:eastAsia="zh-CN"/>
        </w:rPr>
        <w:t>2200</w:t>
      </w:r>
      <w:r>
        <w:rPr>
          <w:rFonts w:hint="eastAsia" w:ascii="仿宋" w:hAnsi="仿宋" w:eastAsia="仿宋" w:cs="仿宋"/>
          <w:sz w:val="32"/>
          <w:szCs w:val="32"/>
          <w:highlight w:val="none"/>
        </w:rPr>
        <w:t>万元。其中</w:t>
      </w:r>
      <w:r>
        <w:rPr>
          <w:rFonts w:hint="eastAsia" w:ascii="仿宋" w:hAnsi="仿宋" w:eastAsia="仿宋" w:cs="仿宋"/>
          <w:sz w:val="32"/>
          <w:szCs w:val="32"/>
          <w:highlight w:val="none"/>
          <w:lang w:val="en-US" w:eastAsia="zh-CN"/>
        </w:rPr>
        <w:t>2200</w:t>
      </w:r>
      <w:r>
        <w:rPr>
          <w:rFonts w:hint="eastAsia" w:ascii="仿宋" w:hAnsi="仿宋" w:eastAsia="仿宋" w:cs="仿宋"/>
          <w:sz w:val="32"/>
          <w:szCs w:val="32"/>
          <w:highlight w:val="none"/>
        </w:rPr>
        <w:t>万元汇入工程款</w:t>
      </w:r>
      <w:r>
        <w:rPr>
          <w:rFonts w:hint="eastAsia" w:ascii="仿宋" w:hAnsi="仿宋" w:eastAsia="仿宋" w:cs="仿宋"/>
          <w:sz w:val="32"/>
          <w:szCs w:val="32"/>
          <w:highlight w:val="none"/>
          <w:lang w:eastAsia="zh-CN"/>
        </w:rPr>
        <w:t>。</w:t>
      </w:r>
    </w:p>
    <w:p>
      <w:pPr>
        <w:keepNext w:val="0"/>
        <w:keepLines w:val="0"/>
        <w:widowControl w:val="0"/>
        <w:suppressLineNumbers w:val="0"/>
        <w:spacing w:before="0" w:beforeAutospacing="0" w:after="0" w:afterAutospacing="0" w:line="560" w:lineRule="exact"/>
        <w:ind w:left="0" w:right="0"/>
        <w:jc w:val="both"/>
        <w:outlineLvl w:val="0"/>
        <w:rPr>
          <w:rFonts w:hint="default" w:ascii="黑体" w:hAnsi="宋体" w:eastAsia="黑体" w:cs="宋体"/>
          <w:bCs/>
          <w:kern w:val="2"/>
          <w:sz w:val="32"/>
          <w:szCs w:val="32"/>
          <w:lang w:val="en-US" w:eastAsia="zh-CN" w:bidi="ar"/>
        </w:rPr>
      </w:pPr>
      <w:bookmarkStart w:id="32" w:name="_Toc21349"/>
      <w:bookmarkStart w:id="33" w:name="_Toc18738"/>
      <w:bookmarkStart w:id="34" w:name="_Toc31406"/>
      <w:bookmarkStart w:id="35" w:name="_Toc18223"/>
      <w:bookmarkStart w:id="36" w:name="_Toc30051"/>
      <w:r>
        <w:rPr>
          <w:rFonts w:hint="eastAsia" w:ascii="黑体" w:hAnsi="宋体" w:eastAsia="黑体" w:cs="宋体"/>
          <w:bCs/>
          <w:kern w:val="2"/>
          <w:sz w:val="32"/>
          <w:szCs w:val="32"/>
          <w:lang w:val="en-US" w:eastAsia="zh-CN" w:bidi="ar"/>
        </w:rPr>
        <w:t>二、绩效</w:t>
      </w:r>
      <w:bookmarkEnd w:id="32"/>
      <w:bookmarkEnd w:id="33"/>
      <w:bookmarkEnd w:id="34"/>
      <w:bookmarkEnd w:id="35"/>
      <w:r>
        <w:rPr>
          <w:rFonts w:hint="eastAsia" w:ascii="黑体" w:hAnsi="宋体" w:eastAsia="黑体" w:cs="宋体"/>
          <w:bCs/>
          <w:kern w:val="2"/>
          <w:sz w:val="32"/>
          <w:szCs w:val="32"/>
          <w:lang w:val="en-US" w:eastAsia="zh-CN" w:bidi="ar"/>
        </w:rPr>
        <w:t>评价</w:t>
      </w:r>
      <w:bookmarkEnd w:id="36"/>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37" w:name="_Toc3331"/>
      <w:bookmarkStart w:id="38" w:name="_Toc6457"/>
      <w:bookmarkStart w:id="39" w:name="_Toc17232"/>
      <w:bookmarkStart w:id="40" w:name="_Toc13706"/>
      <w:r>
        <w:rPr>
          <w:rFonts w:hint="eastAsia" w:ascii="楷体_GB2312" w:hAnsi="楷体_GB2312" w:eastAsia="楷体_GB2312" w:cs="楷体_GB2312"/>
          <w:sz w:val="32"/>
          <w:szCs w:val="32"/>
          <w:lang w:val="en-US" w:eastAsia="zh-CN"/>
        </w:rPr>
        <w:t>2.1、绩效评价依据</w:t>
      </w:r>
      <w:bookmarkEnd w:id="37"/>
      <w:bookmarkEnd w:id="38"/>
      <w:bookmarkEnd w:id="39"/>
      <w:bookmarkEnd w:id="40"/>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根据《赣州蓉江新区财政局关于开展2021年度区本级预算项目和部门整体支出绩效评价工作的通知》（赣蓉政字〔2022〕10号）文件精神。</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《江西省财政厅关于2021年第五批新增债券转贷地市有关事项的通知》（赣财债〔2021〕83号）。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《中共中央国务院关于全面实施预算绩效管理的意见》（中发〔2018〕34号）；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《中共江西省委江西省人民政府关于全面实施预算绩效管理的实施意见》（赣发〔2019〕8号）；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《中共赣州蓉江新区工作委员会赣州蓉江新区管理委员会关于全面实施预算绩效管理的实施意见》（赣蓉党发〔2020〕1号）。</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41" w:name="_Toc10313"/>
      <w:bookmarkStart w:id="42" w:name="_Toc31758"/>
      <w:bookmarkStart w:id="43" w:name="_Toc12903"/>
      <w:bookmarkStart w:id="44" w:name="_Toc9491"/>
      <w:r>
        <w:rPr>
          <w:rFonts w:hint="eastAsia" w:ascii="楷体_GB2312" w:hAnsi="楷体_GB2312" w:eastAsia="楷体_GB2312" w:cs="楷体_GB2312"/>
          <w:sz w:val="32"/>
          <w:szCs w:val="32"/>
          <w:lang w:val="en-US" w:eastAsia="zh-CN"/>
        </w:rPr>
        <w:t>2.2、绩效评价目的</w:t>
      </w:r>
      <w:bookmarkEnd w:id="41"/>
      <w:bookmarkEnd w:id="42"/>
      <w:bookmarkEnd w:id="43"/>
      <w:bookmarkEnd w:id="44"/>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强化单位自我认知与自我发展。通过实行绩效运行评价工作，分析专项资金的到位是否及时，使用是否合理及是否达到预期的效果，了解单位自身的管理、创新能力，以便改进不足并得到进一步提升。通过实行绩效运行评价工作，反映专项资金使用的安全有序及管理状况。</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45" w:name="_Toc29223"/>
      <w:bookmarkStart w:id="46" w:name="_Toc26494"/>
      <w:bookmarkStart w:id="47" w:name="_Toc5854"/>
      <w:bookmarkStart w:id="48" w:name="_Toc12630"/>
      <w:r>
        <w:rPr>
          <w:rFonts w:hint="eastAsia" w:ascii="楷体_GB2312" w:hAnsi="楷体_GB2312" w:eastAsia="楷体_GB2312" w:cs="楷体_GB2312"/>
          <w:sz w:val="32"/>
          <w:szCs w:val="32"/>
          <w:lang w:val="en-US" w:eastAsia="zh-CN"/>
        </w:rPr>
        <w:t>2.3、绩效评价原则、绩效评价实施过程</w:t>
      </w:r>
      <w:bookmarkEnd w:id="45"/>
      <w:bookmarkEnd w:id="46"/>
      <w:bookmarkEnd w:id="47"/>
      <w:bookmarkEnd w:id="48"/>
      <w:bookmarkStart w:id="49" w:name="_Toc28207"/>
      <w:bookmarkStart w:id="50" w:name="_Toc11808"/>
      <w:bookmarkStart w:id="51" w:name="_Toc13397"/>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2.3.1、绩效评价原则</w:t>
      </w:r>
      <w:bookmarkEnd w:id="49"/>
      <w:bookmarkEnd w:id="50"/>
      <w:bookmarkEnd w:id="51"/>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（1）公开、公正原则；</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（2）科学规范原则。按照科学可行的要求，采用定量与定性分析相结合的方法，以定量分析为主、定性分析为辅；</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（3）动态管理原则；</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（4）经济性、效率性、科学性原则。</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2.3.2、绩效评价方法</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本项目进行绩效评价时采用比较法、因素分析法、公众评判法等方法。</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（1）比较法：充分运用项目预算资料、国家、赣州市发布的各项法律规章制度，对比项目实际情况，找出差异与不足，对项目的各项绩效目标进行分析与评价。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（2）因素分析法：综合分析影响绩效目标实现、实施效果的内外因素，评价绩效目标实现程度。</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（3）公众评判法：通过对受惠对象发布公众问卷及抽样调查等对项目支出效果进行评判，评价绩效目标实现程度和对象的满意度。</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（4）其他评价方法。</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52" w:name="_Toc31737"/>
      <w:bookmarkStart w:id="53" w:name="_Toc10137"/>
      <w:bookmarkStart w:id="54" w:name="_Toc19528"/>
      <w:r>
        <w:rPr>
          <w:rFonts w:hint="eastAsia" w:ascii="楷体_GB2312" w:hAnsi="楷体_GB2312" w:eastAsia="楷体_GB2312" w:cs="楷体_GB2312"/>
          <w:sz w:val="32"/>
          <w:szCs w:val="32"/>
          <w:lang w:val="en-US" w:eastAsia="zh-CN"/>
        </w:rPr>
        <w:t>2.3.3、绩效评价实施过程</w:t>
      </w:r>
      <w:bookmarkEnd w:id="52"/>
      <w:bookmarkEnd w:id="53"/>
      <w:bookmarkEnd w:id="54"/>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江西省财政厅关于2021年第五批新增债券贷地市有关事项的通知》（赣财债〔2021〕83号）等相关文件的要求，制定了资金项目绩效运行工作的工作方案，评价指标，成立了资金项目绩效评价工作领导小组、评价工作组。2023年12月20日召开了现场评价工作安排部署会，于2023年12月30日完成评价工作，绩效评价工作主要如下：</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（一）核实数据。对截至2022年已发行专项债2200万元资金到账，支出数据的准确性、真实性进行核实。</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（二）查阅资料。查阅2022年度项目资金预算安排、预算追加、资金管理、经费支出等相关文件资料和财务凭证。</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（三）实地查看。现场查看实物资产等。</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（四）发放调查问卷，对部门履行职责情况的公众满意度进行调查。</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（五）归纳汇总。对提供的材料及评价报告，结合现场评价情况进行综合分析、归纳汇总。</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（六）评价组对各项评价指标进行分析讨论。</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（七）形成绩效重点评价报告。</w:t>
      </w:r>
    </w:p>
    <w:p>
      <w:pPr>
        <w:pStyle w:val="20"/>
        <w:rPr>
          <w:rFonts w:hint="eastAsia"/>
          <w:lang w:val="en-US" w:eastAsia="zh-CN"/>
        </w:rPr>
      </w:pP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55" w:name="_Toc16804"/>
      <w:bookmarkStart w:id="56" w:name="_Toc11716"/>
      <w:bookmarkStart w:id="57" w:name="_Toc6321"/>
      <w:bookmarkStart w:id="58" w:name="_Toc13550"/>
      <w:bookmarkStart w:id="59" w:name="_Toc21003"/>
      <w:r>
        <w:rPr>
          <w:rFonts w:hint="eastAsia" w:ascii="黑体" w:hAnsi="宋体" w:eastAsia="黑体" w:cs="宋体"/>
          <w:bCs/>
          <w:kern w:val="2"/>
          <w:sz w:val="32"/>
          <w:szCs w:val="32"/>
          <w:lang w:val="en-US" w:eastAsia="zh-CN" w:bidi="ar"/>
        </w:rPr>
        <w:t>三、评价情况</w:t>
      </w:r>
      <w:bookmarkEnd w:id="55"/>
      <w:bookmarkEnd w:id="56"/>
      <w:bookmarkEnd w:id="57"/>
      <w:bookmarkEnd w:id="58"/>
      <w:bookmarkEnd w:id="59"/>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60" w:name="_Toc21292"/>
      <w:bookmarkStart w:id="61" w:name="_Toc25544"/>
      <w:bookmarkStart w:id="62" w:name="_Toc5300"/>
      <w:bookmarkStart w:id="63" w:name="_Toc31587"/>
      <w:r>
        <w:rPr>
          <w:rFonts w:hint="eastAsia" w:ascii="楷体_GB2312" w:hAnsi="楷体_GB2312" w:eastAsia="楷体_GB2312" w:cs="楷体_GB2312"/>
          <w:sz w:val="32"/>
          <w:szCs w:val="32"/>
          <w:lang w:val="en-US" w:eastAsia="zh-CN"/>
        </w:rPr>
        <w:t>3.1、专项债发行目的分析</w:t>
      </w:r>
      <w:bookmarkEnd w:id="60"/>
      <w:bookmarkEnd w:id="61"/>
      <w:bookmarkEnd w:id="62"/>
      <w:bookmarkEnd w:id="63"/>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2017年财政部《关于试点发展项目收益与融资自求平衡的地方政府专项债券品种的通知》（财预〔2017〕89号）、2018年财政部《关于做好2018年地方政府债务管理工作的通知》（财预〔2018〕34号）（以下均简称“《通知》”）要求，分类发行专项债券建设的项目，应当能够产生持续稳定现金流收入（包括：政府性基金收入或专项收入），且现金流入应当能够完全覆盖专项债券还本付息的规模。鼓励有条件的地方积极探索在有一定收益的公益性事业领域分类发行专项债券，以对应的政府性基金收入或专项收入偿还。鼓励有条件的地方创新和丰富债券品种，按照中央经济工作会议确定的重点工作，优先在重大区域发展以及乡村振兴、生态环保、保障性住房、公立医院、公立学校、交通、水利、市政基础设施等领域选择符合条件的项目，积极探索试点发行项目收益专项债券，并以对应的政府性基金或专项收入等偿还。项目带来的社会效益和社会影响，能够为当地社会环境、人文条件所接纳，能够与当地社会环境相互适应。为了弥补地方政府的资金不足，减轻政府资金压力，加强资金流通。发挥专项债带动扩大有效投资的重要作用，切实稳定宏观经济大盘，加强供给侧结构性改革，加快城乡之间土地、资金、人员等要素的流动，实现资源的合理化配置。</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64" w:name="_Toc17381"/>
      <w:bookmarkStart w:id="65" w:name="_Toc11207"/>
      <w:bookmarkStart w:id="66" w:name="_Toc28983"/>
      <w:bookmarkStart w:id="67" w:name="_Toc7182"/>
      <w:r>
        <w:rPr>
          <w:rFonts w:hint="eastAsia" w:ascii="楷体_GB2312" w:hAnsi="楷体_GB2312" w:eastAsia="楷体_GB2312" w:cs="楷体_GB2312"/>
          <w:sz w:val="32"/>
          <w:szCs w:val="32"/>
          <w:lang w:val="en-US" w:eastAsia="zh-CN"/>
        </w:rPr>
        <w:t>3.2、评价思路方法</w:t>
      </w:r>
      <w:bookmarkEnd w:id="64"/>
      <w:bookmarkEnd w:id="65"/>
      <w:bookmarkEnd w:id="66"/>
      <w:bookmarkEnd w:id="67"/>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主要包括对专项债资金支出的必要性、可行性、公益性、收益性等方面进行论证评价。</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68" w:name="_Toc20700"/>
      <w:bookmarkStart w:id="69" w:name="_Toc29126"/>
      <w:bookmarkStart w:id="70" w:name="_Toc8639"/>
      <w:bookmarkStart w:id="71" w:name="_Toc4228"/>
      <w:r>
        <w:rPr>
          <w:rFonts w:hint="eastAsia" w:ascii="楷体_GB2312" w:hAnsi="楷体_GB2312" w:eastAsia="楷体_GB2312" w:cs="楷体_GB2312"/>
          <w:sz w:val="32"/>
          <w:szCs w:val="32"/>
          <w:lang w:val="en-US" w:eastAsia="zh-CN"/>
        </w:rPr>
        <w:t>3.3、绩效评价结论</w:t>
      </w:r>
      <w:bookmarkEnd w:id="68"/>
      <w:bookmarkEnd w:id="69"/>
      <w:bookmarkEnd w:id="70"/>
      <w:bookmarkEnd w:id="71"/>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在经济效益上，提高整个地区的经济水平，对钢铁、建材、交通运输、电信、物业管理等相关产业的发展起到一定的推动作用。在社会影响上，有助于保障和改善民生、促进社会和谐稳定。</w:t>
      </w:r>
      <w:bookmarkStart w:id="72" w:name="_Toc5759"/>
      <w:bookmarkStart w:id="73" w:name="_Toc21914"/>
      <w:bookmarkStart w:id="74" w:name="_Toc17657"/>
      <w:r>
        <w:rPr>
          <w:rFonts w:hint="eastAsia" w:ascii="仿宋_GB2312" w:hAnsi="Times New Roman" w:eastAsia="仿宋_GB2312" w:cs="Times New Roman"/>
          <w:kern w:val="2"/>
          <w:sz w:val="32"/>
          <w:szCs w:val="32"/>
          <w:lang w:val="en-US" w:eastAsia="zh-CN" w:bidi="ar-SA"/>
        </w:rPr>
        <w:t>根据中勤万信会计师事务所出具的项目可行性研究报告（勤信专字【2022】第0009号），本项目运营收入包含保教费、托管费、餐费收入。2022至2051年，债券存续期间经营性收入估算合计为9696.21万元，收益可观。2022年为建设期，未产生经济效益。</w:t>
      </w:r>
    </w:p>
    <w:p>
      <w:pPr>
        <w:keepNext w:val="0"/>
        <w:keepLines w:val="0"/>
        <w:widowControl w:val="0"/>
        <w:numPr>
          <w:ilvl w:val="0"/>
          <w:numId w:val="1"/>
        </w:numPr>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75" w:name="_Toc24384"/>
      <w:r>
        <w:rPr>
          <w:rFonts w:hint="eastAsia" w:ascii="黑体" w:hAnsi="宋体" w:eastAsia="黑体" w:cs="宋体"/>
          <w:bCs/>
          <w:kern w:val="2"/>
          <w:sz w:val="32"/>
          <w:szCs w:val="32"/>
          <w:lang w:val="en-US" w:eastAsia="zh-CN" w:bidi="ar"/>
        </w:rPr>
        <w:t>立项依据</w:t>
      </w:r>
      <w:bookmarkEnd w:id="75"/>
    </w:p>
    <w:p>
      <w:pPr>
        <w:numPr>
          <w:ilvl w:val="0"/>
          <w:numId w:val="0"/>
        </w:num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工程立项批准文号:赣蓉经发投字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133号、赣蓉经发投字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117号、赣蓉经发投字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118号、赣蓉经发投字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102号、赣蓉经发投字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149号、赣蓉经发投字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144号、赣蓉经发投字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155号、赣蓉经发投字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99号、赣蓉经发投字</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2020</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129号。</w:t>
      </w:r>
    </w:p>
    <w:p>
      <w:pPr>
        <w:keepNext w:val="0"/>
        <w:keepLines w:val="0"/>
        <w:widowControl w:val="0"/>
        <w:numPr>
          <w:ilvl w:val="0"/>
          <w:numId w:val="1"/>
        </w:numPr>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76" w:name="_Toc7343"/>
      <w:r>
        <w:rPr>
          <w:rFonts w:hint="eastAsia" w:ascii="黑体" w:hAnsi="宋体" w:eastAsia="黑体" w:cs="宋体"/>
          <w:bCs/>
          <w:kern w:val="2"/>
          <w:sz w:val="32"/>
          <w:szCs w:val="32"/>
          <w:lang w:val="en-US" w:eastAsia="zh-CN" w:bidi="ar"/>
        </w:rPr>
        <w:t>专项债资金情况</w:t>
      </w:r>
      <w:bookmarkEnd w:id="72"/>
      <w:bookmarkEnd w:id="73"/>
      <w:bookmarkEnd w:id="74"/>
      <w:bookmarkEnd w:id="76"/>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77" w:name="_Toc20804"/>
      <w:r>
        <w:rPr>
          <w:rFonts w:hint="eastAsia" w:ascii="楷体_GB2312" w:hAnsi="楷体_GB2312" w:eastAsia="楷体_GB2312" w:cs="楷体_GB2312"/>
          <w:sz w:val="32"/>
          <w:szCs w:val="32"/>
          <w:lang w:val="en-US" w:eastAsia="zh-CN"/>
        </w:rPr>
        <w:t>5.1、专项债发行主体资格</w:t>
      </w:r>
      <w:bookmarkEnd w:id="77"/>
    </w:p>
    <w:p>
      <w:pPr>
        <w:keepNext w:val="0"/>
        <w:keepLines w:val="0"/>
        <w:widowControl w:val="0"/>
        <w:numPr>
          <w:ilvl w:val="0"/>
          <w:numId w:val="0"/>
        </w:numPr>
        <w:suppressLineNumbers w:val="0"/>
        <w:spacing w:before="0" w:beforeAutospacing="0" w:after="0" w:afterAutospacing="0" w:line="560" w:lineRule="exact"/>
        <w:ind w:right="0" w:rightChars="0" w:firstLine="640" w:firstLineChars="200"/>
        <w:jc w:val="both"/>
        <w:outlineLvl w:val="9"/>
        <w:rPr>
          <w:rFonts w:hint="eastAsia" w:ascii="仿宋_GB2312" w:hAnsi="Times New Roman" w:eastAsia="仿宋_GB2312" w:cs="Times New Roman"/>
          <w:kern w:val="2"/>
          <w:sz w:val="32"/>
          <w:szCs w:val="32"/>
          <w:lang w:val="en-US" w:eastAsia="zh-CN" w:bidi="ar-SA"/>
        </w:rPr>
      </w:pPr>
      <w:bookmarkStart w:id="78" w:name="_Toc2899"/>
      <w:bookmarkStart w:id="79" w:name="_Toc17806"/>
      <w:r>
        <w:rPr>
          <w:rFonts w:hint="eastAsia" w:ascii="仿宋_GB2312" w:hAnsi="Times New Roman" w:eastAsia="仿宋_GB2312" w:cs="Times New Roman"/>
          <w:kern w:val="2"/>
          <w:sz w:val="32"/>
          <w:szCs w:val="32"/>
          <w:lang w:val="en-US" w:eastAsia="zh-CN" w:bidi="ar-SA"/>
        </w:rPr>
        <w:t>根据《关于试点发展项目收益与融资自求平衡的地方政府专项债券品种的通知》（财预〔2017〕89号）之规定，地方政府专项债券需由江西省人民政府作为发行主体。本项目的实施机构为赣州蓉江新区社管局是依法批准设立的事业单位，具备事业单位法人资格，具有相应的民事权利能力和民事行为能力；项目业主为赣州蓉江新区基础设施建设投资管理有限公司,是依法批准设立的企业法人，具备作为项目业主的资格。</w:t>
      </w:r>
      <w:bookmarkEnd w:id="78"/>
      <w:bookmarkEnd w:id="79"/>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80" w:name="_Toc14541"/>
      <w:r>
        <w:rPr>
          <w:rFonts w:hint="eastAsia" w:ascii="楷体_GB2312" w:hAnsi="楷体_GB2312" w:eastAsia="楷体_GB2312" w:cs="楷体_GB2312"/>
          <w:sz w:val="32"/>
          <w:szCs w:val="32"/>
          <w:lang w:val="en-US" w:eastAsia="zh-CN"/>
        </w:rPr>
        <w:t>5.2、专项债发行计划</w:t>
      </w:r>
      <w:bookmarkEnd w:id="80"/>
    </w:p>
    <w:p>
      <w:pPr>
        <w:keepNext w:val="0"/>
        <w:keepLines w:val="0"/>
        <w:widowControl w:val="0"/>
        <w:numPr>
          <w:ilvl w:val="0"/>
          <w:numId w:val="0"/>
        </w:numPr>
        <w:suppressLineNumbers w:val="0"/>
        <w:spacing w:before="0" w:beforeAutospacing="0" w:after="0" w:afterAutospacing="0" w:line="560" w:lineRule="exact"/>
        <w:ind w:right="0" w:rightChars="0" w:firstLine="640" w:firstLineChars="200"/>
        <w:jc w:val="both"/>
        <w:outlineLvl w:val="9"/>
        <w:rPr>
          <w:rFonts w:hint="default" w:ascii="仿宋_GB2312" w:hAnsi="Times New Roman" w:eastAsia="仿宋_GB2312" w:cs="Times New Roman"/>
          <w:kern w:val="2"/>
          <w:sz w:val="32"/>
          <w:szCs w:val="32"/>
          <w:lang w:val="en-US" w:eastAsia="zh-CN" w:bidi="ar-SA"/>
        </w:rPr>
      </w:pPr>
      <w:bookmarkStart w:id="81" w:name="_Toc3878"/>
      <w:bookmarkStart w:id="82" w:name="_Toc6200"/>
      <w:r>
        <w:rPr>
          <w:rFonts w:hint="eastAsia" w:ascii="仿宋_GB2312" w:hAnsi="Times New Roman" w:eastAsia="仿宋_GB2312" w:cs="Times New Roman"/>
          <w:kern w:val="2"/>
          <w:sz w:val="32"/>
          <w:szCs w:val="32"/>
          <w:lang w:val="en-US" w:eastAsia="zh-CN" w:bidi="ar-SA"/>
        </w:rPr>
        <w:t>专项债通过全国银行间债券市场、证券交易所债券市场发行。赣州蓉江新区C1-8幼儿园项目本期拟申请发行地方政府专项债券2200万元，期限30年，专项债券融资成本按4.5%估算。计划发行时间为2022年1月20日，以后年度结合当年发债计划安排。</w:t>
      </w:r>
      <w:bookmarkEnd w:id="81"/>
      <w:bookmarkEnd w:id="82"/>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83" w:name="_Toc20101"/>
      <w:r>
        <w:rPr>
          <w:rFonts w:hint="eastAsia" w:ascii="楷体_GB2312" w:hAnsi="楷体_GB2312" w:eastAsia="楷体_GB2312" w:cs="楷体_GB2312"/>
          <w:sz w:val="32"/>
          <w:szCs w:val="32"/>
          <w:lang w:val="en-US" w:eastAsia="zh-CN"/>
        </w:rPr>
        <w:t>5.3、专项债资金到位情况</w:t>
      </w:r>
      <w:bookmarkEnd w:id="83"/>
    </w:p>
    <w:p>
      <w:pPr>
        <w:keepNext w:val="0"/>
        <w:keepLines w:val="0"/>
        <w:widowControl w:val="0"/>
        <w:numPr>
          <w:ilvl w:val="0"/>
          <w:numId w:val="0"/>
        </w:numPr>
        <w:suppressLineNumbers w:val="0"/>
        <w:spacing w:before="0" w:beforeAutospacing="0" w:after="0" w:afterAutospacing="0" w:line="560" w:lineRule="exact"/>
        <w:ind w:right="0" w:rightChars="0" w:firstLine="640" w:firstLineChars="200"/>
        <w:jc w:val="both"/>
        <w:outlineLvl w:val="9"/>
        <w:rPr>
          <w:rFonts w:hint="eastAsia" w:ascii="仿宋_GB2312" w:hAnsi="Times New Roman" w:eastAsia="仿宋_GB2312" w:cs="Times New Roman"/>
          <w:kern w:val="2"/>
          <w:sz w:val="32"/>
          <w:szCs w:val="32"/>
          <w:lang w:val="en-US" w:eastAsia="zh-CN" w:bidi="ar-SA"/>
        </w:rPr>
      </w:pPr>
      <w:bookmarkStart w:id="84" w:name="_Toc5772"/>
      <w:r>
        <w:rPr>
          <w:rFonts w:hint="eastAsia" w:ascii="仿宋_GB2312" w:hAnsi="Times New Roman" w:eastAsia="仿宋_GB2312" w:cs="Times New Roman"/>
          <w:kern w:val="2"/>
          <w:sz w:val="32"/>
          <w:szCs w:val="32"/>
          <w:lang w:val="en-US" w:eastAsia="zh-CN" w:bidi="ar-SA"/>
        </w:rPr>
        <w:t>2022年1月30日区社管局将收到专项债资金2200万元转入建设单位赣州蓉江新区基础设施建设投资管理有限公司（兴业银行，账号503010100100004237）。</w:t>
      </w:r>
      <w:bookmarkEnd w:id="84"/>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85" w:name="_Toc21457"/>
      <w:r>
        <w:rPr>
          <w:rFonts w:hint="eastAsia" w:ascii="楷体_GB2312" w:hAnsi="楷体_GB2312" w:eastAsia="楷体_GB2312" w:cs="楷体_GB2312"/>
          <w:sz w:val="32"/>
          <w:szCs w:val="32"/>
          <w:lang w:val="en-US" w:eastAsia="zh-CN"/>
        </w:rPr>
        <w:t>5.4、专项债资金具体支付方案</w:t>
      </w:r>
      <w:bookmarkEnd w:id="85"/>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赣州蓉江新区基础设施建设投资管理有限公司2022年3月至5月分五次将2200万元工程款汇入施工单位江西省梦远建设有限公司子公司赣州旭实建设有限公司账户（中国建设银行，账号：36050111229200000294）。详见下表：</w:t>
      </w:r>
    </w:p>
    <w:p>
      <w:pPr>
        <w:ind w:firstLine="6080" w:firstLineChars="1900"/>
        <w:rPr>
          <w:rFonts w:hint="default"/>
          <w:lang w:val="en-US" w:eastAsia="zh-CN"/>
        </w:rPr>
      </w:pPr>
      <w:r>
        <w:rPr>
          <w:rFonts w:hint="eastAsia" w:ascii="仿宋_GB2312" w:hAnsi="Times New Roman" w:eastAsia="仿宋_GB2312" w:cs="Times New Roman"/>
          <w:kern w:val="2"/>
          <w:sz w:val="32"/>
          <w:szCs w:val="32"/>
          <w:lang w:val="en-US" w:eastAsia="zh-CN" w:bidi="ar-SA"/>
        </w:rPr>
        <w:t>单位（万元）</w:t>
      </w:r>
    </w:p>
    <w:tbl>
      <w:tblPr>
        <w:tblStyle w:val="16"/>
        <w:tblpPr w:leftFromText="180" w:rightFromText="180" w:vertAnchor="text" w:horzAnchor="page" w:tblpX="2060" w:tblpY="257"/>
        <w:tblOverlap w:val="never"/>
        <w:tblW w:w="8049" w:type="dxa"/>
        <w:tblInd w:w="0" w:type="dxa"/>
        <w:tblLayout w:type="fixed"/>
        <w:tblCellMar>
          <w:top w:w="0" w:type="dxa"/>
          <w:left w:w="108" w:type="dxa"/>
          <w:bottom w:w="0" w:type="dxa"/>
          <w:right w:w="108" w:type="dxa"/>
        </w:tblCellMar>
      </w:tblPr>
      <w:tblGrid>
        <w:gridCol w:w="2475"/>
        <w:gridCol w:w="2781"/>
        <w:gridCol w:w="2793"/>
      </w:tblGrid>
      <w:tr>
        <w:tblPrEx>
          <w:tblCellMar>
            <w:top w:w="0" w:type="dxa"/>
            <w:left w:w="108" w:type="dxa"/>
            <w:bottom w:w="0" w:type="dxa"/>
            <w:right w:w="108" w:type="dxa"/>
          </w:tblCellMar>
        </w:tblPrEx>
        <w:trPr>
          <w:trHeight w:val="38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日期</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金额</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960" w:firstLineChars="3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摘要</w:t>
            </w:r>
          </w:p>
        </w:tc>
      </w:tr>
      <w:tr>
        <w:tblPrEx>
          <w:tblCellMar>
            <w:top w:w="0" w:type="dxa"/>
            <w:left w:w="108" w:type="dxa"/>
            <w:bottom w:w="0" w:type="dxa"/>
            <w:right w:w="108" w:type="dxa"/>
          </w:tblCellMar>
        </w:tblPrEx>
        <w:trPr>
          <w:trHeight w:val="53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2022.04.14</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886.00</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2022.03.28</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412.00</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2022.04.18</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120.60</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2022.04.18</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804.00</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2022.05.13</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701.00</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工程款</w:t>
            </w:r>
          </w:p>
        </w:tc>
      </w:tr>
      <w:tr>
        <w:tblPrEx>
          <w:tblCellMar>
            <w:top w:w="0" w:type="dxa"/>
            <w:left w:w="108" w:type="dxa"/>
            <w:bottom w:w="0" w:type="dxa"/>
            <w:right w:w="108" w:type="dxa"/>
          </w:tblCellMar>
        </w:tblPrEx>
        <w:trPr>
          <w:trHeight w:val="500" w:hRule="atLeast"/>
        </w:trPr>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lang w:val="en-US" w:eastAsia="zh-CN" w:bidi="ar-SA"/>
              </w:rPr>
            </w:pPr>
            <w:bookmarkStart w:id="86" w:name="_Toc3276"/>
            <w:bookmarkStart w:id="87" w:name="_Toc7105"/>
            <w:bookmarkStart w:id="88" w:name="_Toc10350"/>
            <w:r>
              <w:rPr>
                <w:rFonts w:hint="eastAsia" w:ascii="仿宋_GB2312" w:hAnsi="Times New Roman" w:eastAsia="仿宋_GB2312" w:cs="Times New Roman"/>
                <w:kern w:val="2"/>
                <w:sz w:val="32"/>
                <w:szCs w:val="32"/>
                <w:lang w:val="en-US" w:eastAsia="zh-CN" w:bidi="ar-SA"/>
              </w:rPr>
              <w:t>合计</w:t>
            </w:r>
          </w:p>
        </w:tc>
        <w:tc>
          <w:tcPr>
            <w:tcW w:w="27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2200.00</w:t>
            </w:r>
          </w:p>
        </w:tc>
        <w:tc>
          <w:tcPr>
            <w:tcW w:w="279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工程款</w:t>
            </w:r>
          </w:p>
        </w:tc>
      </w:tr>
    </w:tbl>
    <w:p>
      <w:pPr>
        <w:bidi w:val="0"/>
        <w:rPr>
          <w:rFonts w:hint="eastAsia"/>
          <w:lang w:val="en-US" w:eastAsia="zh-CN"/>
        </w:rPr>
      </w:pPr>
    </w:p>
    <w:p>
      <w:pPr>
        <w:keepNext w:val="0"/>
        <w:keepLines w:val="0"/>
        <w:widowControl w:val="0"/>
        <w:suppressLineNumbers w:val="0"/>
        <w:spacing w:before="0" w:beforeAutospacing="0" w:after="0" w:afterAutospacing="0" w:line="560" w:lineRule="exact"/>
        <w:ind w:left="0" w:right="0"/>
        <w:jc w:val="both"/>
        <w:outlineLvl w:val="0"/>
        <w:rPr>
          <w:rFonts w:hint="default" w:ascii="黑体" w:hAnsi="宋体" w:eastAsia="黑体" w:cs="宋体"/>
          <w:bCs/>
          <w:kern w:val="2"/>
          <w:sz w:val="32"/>
          <w:szCs w:val="32"/>
          <w:lang w:val="en-US" w:eastAsia="zh-CN" w:bidi="ar"/>
        </w:rPr>
      </w:pPr>
      <w:bookmarkStart w:id="89" w:name="_Toc11842"/>
      <w:r>
        <w:rPr>
          <w:rFonts w:hint="eastAsia" w:ascii="黑体" w:hAnsi="宋体" w:eastAsia="黑体" w:cs="宋体"/>
          <w:bCs/>
          <w:kern w:val="2"/>
          <w:sz w:val="32"/>
          <w:szCs w:val="32"/>
          <w:lang w:val="en-US" w:eastAsia="zh-CN" w:bidi="ar"/>
        </w:rPr>
        <w:t>六、项目</w:t>
      </w:r>
      <w:bookmarkEnd w:id="86"/>
      <w:bookmarkEnd w:id="87"/>
      <w:bookmarkEnd w:id="88"/>
      <w:r>
        <w:rPr>
          <w:rFonts w:hint="eastAsia" w:ascii="黑体" w:hAnsi="宋体" w:eastAsia="黑体" w:cs="宋体"/>
          <w:bCs/>
          <w:kern w:val="2"/>
          <w:sz w:val="32"/>
          <w:szCs w:val="32"/>
          <w:lang w:val="en-US" w:eastAsia="zh-CN" w:bidi="ar"/>
        </w:rPr>
        <w:t>绩效总目标</w:t>
      </w:r>
      <w:bookmarkEnd w:id="89"/>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目的建设是贯彻落实科学发展观、办人民满意教育的需要，是合理配置教育资源、实现赣州蓉江新区教育均衡和可持续发展的需要，办人民满意教育，办理想教育的需要。同时为当地幼儿提供更多更好的教育机会，使人们获得优质的学前教育，全面提升人们的教育水平。</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90" w:name="_Toc22216"/>
      <w:bookmarkStart w:id="91" w:name="_Toc3029"/>
      <w:bookmarkStart w:id="92" w:name="_Toc23027"/>
      <w:bookmarkStart w:id="93" w:name="_Toc26338"/>
      <w:r>
        <w:rPr>
          <w:rFonts w:hint="eastAsia" w:ascii="黑体" w:hAnsi="宋体" w:eastAsia="黑体" w:cs="宋体"/>
          <w:bCs/>
          <w:kern w:val="2"/>
          <w:sz w:val="32"/>
          <w:szCs w:val="32"/>
          <w:lang w:val="en-US" w:eastAsia="zh-CN" w:bidi="ar"/>
        </w:rPr>
        <w:t>七、项目风险评估及控制措施</w:t>
      </w:r>
      <w:bookmarkEnd w:id="90"/>
      <w:bookmarkEnd w:id="91"/>
      <w:bookmarkEnd w:id="92"/>
      <w:bookmarkEnd w:id="93"/>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风险识别和分析该项目从立项、拆迁和建设过程中不可避免地要受到众多不确定因素的影响，对该项目的投资、质量、进度和安全等工程目标带来达不到预期目标的可能性，另外该项目投资较大，因此，需对各种风险有足够的估计，以便采取相应的对策。本次仅对2200万专项债进行风险评估。</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94" w:name="_Toc32427"/>
      <w:bookmarkStart w:id="95" w:name="_Toc16506"/>
      <w:bookmarkStart w:id="96" w:name="_Toc4190"/>
      <w:r>
        <w:rPr>
          <w:rFonts w:hint="eastAsia" w:ascii="楷体_GB2312" w:hAnsi="楷体_GB2312" w:eastAsia="楷体_GB2312" w:cs="楷体_GB2312"/>
          <w:sz w:val="32"/>
          <w:szCs w:val="32"/>
          <w:lang w:val="en-US" w:eastAsia="zh-CN"/>
        </w:rPr>
        <w:t>7.1、资金筹措风险</w:t>
      </w:r>
      <w:bookmarkEnd w:id="94"/>
      <w:bookmarkEnd w:id="95"/>
      <w:bookmarkEnd w:id="96"/>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该项目对资金的需求较大，项目建设对金融业有较高程度的依赖。若金融企业进行业务调整，改变对项目及关联行业的贷款政策，将会极大影响项目进度。该项目资金来源主要为发行政府债券（2200万元）及本区自筹资金。若自筹资金及发行政府债券不能按时到位，将极大影响项目建设，失去本轮发展机遇。因此，项目存在资金筹措风险。</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97" w:name="_Toc22121"/>
      <w:bookmarkStart w:id="98" w:name="_Toc22594"/>
      <w:bookmarkStart w:id="99" w:name="_Toc10258"/>
      <w:r>
        <w:rPr>
          <w:rFonts w:hint="eastAsia" w:ascii="楷体_GB2312" w:hAnsi="楷体_GB2312" w:eastAsia="楷体_GB2312" w:cs="楷体_GB2312"/>
          <w:sz w:val="32"/>
          <w:szCs w:val="32"/>
          <w:lang w:val="en-US" w:eastAsia="zh-CN"/>
        </w:rPr>
        <w:t>7.2、资金管理风险</w:t>
      </w:r>
      <w:bookmarkEnd w:id="97"/>
      <w:bookmarkEnd w:id="98"/>
      <w:bookmarkEnd w:id="99"/>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该项目资金支出较大，可能存在虽有设置相关的监管机制和岗位，但因种种原因这些制度和岗位流于形式或者形同虚设或者作用十分有限，可能出现擅自改变用途，用于偿还债务、支付利息、用于单位工作经费、发放工资等非本项目支出。工程款拨付额度计算错误，导致工程款支付错误，不执行大额资金联签制度，个人决定资金拨付额度。未依据概算、计算、合同、验收计价和资金预算支付建设资金。</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00" w:name="_Toc20601"/>
      <w:bookmarkStart w:id="101" w:name="_Toc14481"/>
      <w:bookmarkStart w:id="102" w:name="_Toc14395"/>
      <w:bookmarkStart w:id="103" w:name="_Toc25654"/>
      <w:r>
        <w:rPr>
          <w:rFonts w:hint="eastAsia" w:ascii="黑体" w:hAnsi="宋体" w:eastAsia="黑体" w:cs="宋体"/>
          <w:bCs/>
          <w:kern w:val="2"/>
          <w:sz w:val="32"/>
          <w:szCs w:val="32"/>
          <w:lang w:val="en-US" w:eastAsia="zh-CN" w:bidi="ar"/>
        </w:rPr>
        <w:t>八、风险应对措施</w:t>
      </w:r>
      <w:bookmarkEnd w:id="100"/>
      <w:bookmarkEnd w:id="101"/>
      <w:bookmarkEnd w:id="102"/>
      <w:bookmarkEnd w:id="103"/>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04" w:name="_Toc32443"/>
      <w:bookmarkStart w:id="105" w:name="_Toc9046"/>
      <w:bookmarkStart w:id="106" w:name="_Toc810"/>
      <w:r>
        <w:rPr>
          <w:rFonts w:hint="eastAsia" w:ascii="楷体_GB2312" w:hAnsi="楷体_GB2312" w:eastAsia="楷体_GB2312" w:cs="楷体_GB2312"/>
          <w:sz w:val="32"/>
          <w:szCs w:val="32"/>
          <w:lang w:val="en-US" w:eastAsia="zh-CN"/>
        </w:rPr>
        <w:t>8.1、资金筹措风险应对措施</w:t>
      </w:r>
      <w:bookmarkEnd w:id="104"/>
      <w:bookmarkEnd w:id="105"/>
      <w:bookmarkEnd w:id="106"/>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针对项目筹资风险，该项目采取如下措施:</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①承办单位须配置必要的预防资金，保证项目在发生较大变化的情况下能够迅速投入资金以使项目正常进行。</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②进一步加强与金融机构的合作。根据项目进展情况，积极与相关金融机构沟通。</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③将资产负债率控制在合理水平，若遇到特殊情况可采用适当增加资产负债率来筹措建设资金，保证项目的如期建成。</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07" w:name="_Toc14990"/>
      <w:bookmarkStart w:id="108" w:name="_Toc32025"/>
      <w:bookmarkStart w:id="109" w:name="_Toc27430"/>
      <w:r>
        <w:rPr>
          <w:rFonts w:hint="eastAsia" w:ascii="楷体_GB2312" w:hAnsi="楷体_GB2312" w:eastAsia="楷体_GB2312" w:cs="楷体_GB2312"/>
          <w:sz w:val="32"/>
          <w:szCs w:val="32"/>
          <w:lang w:val="en-US" w:eastAsia="zh-CN"/>
        </w:rPr>
        <w:t>8.2、资金管理风险应对措施</w:t>
      </w:r>
      <w:bookmarkEnd w:id="107"/>
      <w:bookmarkEnd w:id="108"/>
      <w:bookmarkEnd w:id="109"/>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严格按照一般债券纳入一般公共预算管理、专项债纳入政府性基金预算管理的要求，确保债券资金专款专用、专账核算。严格按照债券发行信息披露约定的用途使用资金。加强对资金账户的监督检查。建设单位将监管施工单位资金流向的要求、内容和方法等纳入招标文件和施工合同中。严格按照财务制度和合同约定的验收计价、工程进度等确定资金拨付额度，严格执行“三重一大”事项集体决策制度，大额资金使用必须实行联签制度。严格资金拨付手续，严格执行建设资金决策、拨付程序，严格执行财务管理制度，强化财务人员内部监督建立互控机制，延伸检查施工单位的资金使用。</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10" w:name="_Toc14785"/>
      <w:r>
        <w:rPr>
          <w:rFonts w:hint="eastAsia" w:ascii="黑体" w:hAnsi="宋体" w:eastAsia="黑体" w:cs="宋体"/>
          <w:bCs/>
          <w:kern w:val="2"/>
          <w:sz w:val="32"/>
          <w:szCs w:val="32"/>
          <w:lang w:val="en-US" w:eastAsia="zh-CN" w:bidi="ar"/>
        </w:rPr>
        <w:t>九、评价结论</w:t>
      </w:r>
      <w:bookmarkEnd w:id="110"/>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次评价在资料查阅、现场调研及访谈基础上，对C1-8幼儿园项目从、过程、产出、效益及满意度四方面进行逐项打分、客观评价。等级设为四档：90（含）-100分为优、80（含）-90分为良、60（含）-80分为中等、60分以下为差。最终评分结果：总得分为81分，绩效评级为“良”。</w:t>
      </w:r>
    </w:p>
    <w:p>
      <w:pPr>
        <w:ind w:firstLine="640" w:firstLineChars="200"/>
        <w:rPr>
          <w:rFonts w:hint="eastAsia" w:cs="楷体_GB2312" w:asciiTheme="minorEastAsia" w:hAnsiTheme="minorEastAsia" w:eastAsiaTheme="minorEastAsia"/>
          <w:sz w:val="28"/>
          <w:szCs w:val="28"/>
          <w:lang w:val="en-US" w:eastAsia="zh-CN"/>
        </w:rPr>
      </w:pPr>
      <w:r>
        <w:rPr>
          <w:rFonts w:hint="eastAsia" w:ascii="仿宋_GB2312" w:hAnsi="Times New Roman" w:eastAsia="仿宋_GB2312" w:cs="Times New Roman"/>
          <w:kern w:val="2"/>
          <w:sz w:val="32"/>
          <w:szCs w:val="32"/>
          <w:lang w:val="en-US" w:eastAsia="zh-CN" w:bidi="ar-SA"/>
        </w:rPr>
        <w:t>详见附表1</w:t>
      </w:r>
      <w:r>
        <w:rPr>
          <w:rFonts w:cs="楷体_GB2312" w:asciiTheme="minorEastAsia" w:hAnsiTheme="minorEastAsia"/>
          <w:sz w:val="28"/>
          <w:szCs w:val="28"/>
        </w:rPr>
        <w:t>项目绩效评分</w:t>
      </w:r>
      <w:r>
        <w:rPr>
          <w:rFonts w:hint="eastAsia" w:cs="楷体_GB2312" w:asciiTheme="minorEastAsia" w:hAnsiTheme="minorEastAsia"/>
          <w:sz w:val="28"/>
          <w:szCs w:val="28"/>
          <w:lang w:val="en-US" w:eastAsia="zh-CN"/>
        </w:rPr>
        <w:t>表</w:t>
      </w:r>
    </w:p>
    <w:tbl>
      <w:tblPr>
        <w:tblStyle w:val="16"/>
        <w:tblW w:w="4902" w:type="pct"/>
        <w:tblInd w:w="0" w:type="dxa"/>
        <w:tblLayout w:type="fixed"/>
        <w:tblCellMar>
          <w:top w:w="0" w:type="dxa"/>
          <w:left w:w="10" w:type="dxa"/>
          <w:bottom w:w="0" w:type="dxa"/>
          <w:right w:w="10" w:type="dxa"/>
        </w:tblCellMar>
      </w:tblPr>
      <w:tblGrid>
        <w:gridCol w:w="934"/>
        <w:gridCol w:w="1397"/>
        <w:gridCol w:w="1523"/>
        <w:gridCol w:w="1738"/>
        <w:gridCol w:w="1434"/>
        <w:gridCol w:w="1776"/>
      </w:tblGrid>
      <w:tr>
        <w:tblPrEx>
          <w:tblCellMar>
            <w:top w:w="0" w:type="dxa"/>
            <w:left w:w="10" w:type="dxa"/>
            <w:bottom w:w="0" w:type="dxa"/>
            <w:right w:w="10" w:type="dxa"/>
          </w:tblCellMar>
        </w:tblPrEx>
        <w:trPr>
          <w:trHeight w:val="766" w:hRule="exact"/>
        </w:trPr>
        <w:tc>
          <w:tcPr>
            <w:tcW w:w="8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指标</w:t>
            </w:r>
          </w:p>
        </w:tc>
        <w:tc>
          <w:tcPr>
            <w:tcW w:w="132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过程</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产出</w:t>
            </w:r>
          </w:p>
        </w:tc>
        <w:tc>
          <w:tcPr>
            <w:tcW w:w="164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效益</w:t>
            </w:r>
          </w:p>
        </w:tc>
        <w:tc>
          <w:tcPr>
            <w:tcW w:w="13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满意度</w:t>
            </w:r>
          </w:p>
        </w:tc>
        <w:tc>
          <w:tcPr>
            <w:tcW w:w="168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rPr>
            </w:pPr>
            <w:r>
              <w:rPr>
                <w:rFonts w:hint="eastAsia" w:ascii="仿宋_GB2312" w:hAnsi="Times New Roman" w:eastAsia="仿宋_GB2312" w:cs="Times New Roman"/>
                <w:kern w:val="2"/>
                <w:sz w:val="32"/>
                <w:szCs w:val="32"/>
                <w:lang w:val="en-US" w:eastAsia="zh-CN" w:bidi="ar-SA"/>
              </w:rPr>
              <w:t>合计分值</w:t>
            </w:r>
          </w:p>
        </w:tc>
      </w:tr>
      <w:tr>
        <w:tblPrEx>
          <w:tblCellMar>
            <w:top w:w="0" w:type="dxa"/>
            <w:left w:w="10" w:type="dxa"/>
            <w:bottom w:w="0" w:type="dxa"/>
            <w:right w:w="10" w:type="dxa"/>
          </w:tblCellMar>
        </w:tblPrEx>
        <w:trPr>
          <w:trHeight w:val="610" w:hRule="exact"/>
        </w:trPr>
        <w:tc>
          <w:tcPr>
            <w:tcW w:w="8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highlight w:val="none"/>
              </w:rPr>
            </w:pPr>
            <w:r>
              <w:rPr>
                <w:rFonts w:hint="eastAsia" w:ascii="仿宋_GB2312" w:hAnsi="Times New Roman" w:eastAsia="仿宋_GB2312" w:cs="Times New Roman"/>
                <w:kern w:val="2"/>
                <w:sz w:val="32"/>
                <w:szCs w:val="32"/>
                <w:highlight w:val="none"/>
                <w:lang w:val="en-US" w:eastAsia="zh-CN" w:bidi="ar-SA"/>
              </w:rPr>
              <w:t>权重</w:t>
            </w:r>
          </w:p>
        </w:tc>
        <w:tc>
          <w:tcPr>
            <w:tcW w:w="132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420" w:firstLineChars="0"/>
              <w:jc w:val="both"/>
              <w:rPr>
                <w:rFonts w:hint="default" w:cs="楷体_GB2312" w:asciiTheme="minorEastAsia" w:hAnsiTheme="minorEastAsia" w:eastAsiaTheme="minorEastAsia"/>
                <w:sz w:val="28"/>
                <w:szCs w:val="28"/>
                <w:highlight w:val="none"/>
                <w:lang w:val="en-US" w:eastAsia="zh-CN"/>
              </w:rPr>
            </w:pPr>
            <w:r>
              <w:rPr>
                <w:rFonts w:hint="eastAsia" w:cs="楷体_GB2312" w:asciiTheme="minorEastAsia" w:hAnsiTheme="minorEastAsia"/>
                <w:sz w:val="28"/>
                <w:szCs w:val="28"/>
                <w:highlight w:val="none"/>
                <w:lang w:val="en-US" w:eastAsia="zh-CN"/>
              </w:rPr>
              <w:t>27</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default" w:cs="楷体_GB2312" w:asciiTheme="minorEastAsia" w:hAnsiTheme="minorEastAsia" w:eastAsiaTheme="minorEastAsia"/>
                <w:sz w:val="28"/>
                <w:szCs w:val="28"/>
                <w:highlight w:val="none"/>
                <w:lang w:val="en-US" w:eastAsia="zh-CN"/>
              </w:rPr>
            </w:pPr>
            <w:r>
              <w:rPr>
                <w:rFonts w:hint="eastAsia" w:cs="楷体_GB2312" w:asciiTheme="minorEastAsia" w:hAnsiTheme="minorEastAsia"/>
                <w:sz w:val="28"/>
                <w:szCs w:val="28"/>
                <w:highlight w:val="none"/>
                <w:lang w:val="en-US" w:eastAsia="zh-CN"/>
              </w:rPr>
              <w:t>48</w:t>
            </w:r>
          </w:p>
        </w:tc>
        <w:tc>
          <w:tcPr>
            <w:tcW w:w="1644" w:type="dxa"/>
            <w:tcBorders>
              <w:top w:val="single" w:color="auto" w:sz="4" w:space="0"/>
              <w:left w:val="single" w:color="auto" w:sz="4" w:space="0"/>
              <w:bottom w:val="single" w:color="auto" w:sz="4" w:space="0"/>
              <w:right w:val="single" w:color="auto" w:sz="4" w:space="0"/>
            </w:tcBorders>
            <w:vAlign w:val="center"/>
          </w:tcPr>
          <w:p>
            <w:pPr>
              <w:spacing w:line="560" w:lineRule="exact"/>
              <w:ind w:firstLine="840" w:firstLineChars="300"/>
              <w:jc w:val="both"/>
              <w:rPr>
                <w:rFonts w:hint="default" w:cs="楷体_GB2312" w:asciiTheme="minorEastAsia" w:hAnsiTheme="minorEastAsia" w:eastAsiaTheme="minorEastAsia"/>
                <w:sz w:val="28"/>
                <w:szCs w:val="28"/>
                <w:highlight w:val="none"/>
                <w:lang w:val="en-US" w:eastAsia="zh-CN"/>
              </w:rPr>
            </w:pPr>
            <w:r>
              <w:rPr>
                <w:rFonts w:hint="eastAsia" w:cs="楷体_GB2312" w:asciiTheme="minorEastAsia" w:hAnsiTheme="minorEastAsia"/>
                <w:sz w:val="28"/>
                <w:szCs w:val="28"/>
                <w:highlight w:val="none"/>
                <w:lang w:val="en-US" w:eastAsia="zh-CN"/>
              </w:rPr>
              <w:t>19</w:t>
            </w:r>
          </w:p>
        </w:tc>
        <w:tc>
          <w:tcPr>
            <w:tcW w:w="1356" w:type="dxa"/>
            <w:tcBorders>
              <w:top w:val="single" w:color="auto" w:sz="4" w:space="0"/>
              <w:left w:val="single" w:color="auto" w:sz="4" w:space="0"/>
              <w:bottom w:val="single" w:color="auto" w:sz="4" w:space="0"/>
              <w:right w:val="single" w:color="auto" w:sz="4" w:space="0"/>
            </w:tcBorders>
            <w:vAlign w:val="center"/>
          </w:tcPr>
          <w:p>
            <w:pPr>
              <w:spacing w:line="560" w:lineRule="exact"/>
              <w:ind w:firstLine="420" w:firstLineChars="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6</w:t>
            </w:r>
          </w:p>
        </w:tc>
        <w:tc>
          <w:tcPr>
            <w:tcW w:w="1680" w:type="dxa"/>
            <w:tcBorders>
              <w:top w:val="single" w:color="auto" w:sz="4" w:space="0"/>
              <w:left w:val="single" w:color="auto" w:sz="4" w:space="0"/>
              <w:bottom w:val="single" w:color="auto" w:sz="4" w:space="0"/>
              <w:right w:val="single" w:color="auto" w:sz="4" w:space="0"/>
            </w:tcBorders>
            <w:vAlign w:val="center"/>
          </w:tcPr>
          <w:p>
            <w:pPr>
              <w:spacing w:line="560" w:lineRule="exact"/>
              <w:ind w:firstLine="420" w:firstLineChars="0"/>
              <w:jc w:val="both"/>
              <w:rPr>
                <w:rFonts w:cs="楷体_GB2312" w:asciiTheme="minorEastAsia" w:hAnsiTheme="minorEastAsia"/>
                <w:sz w:val="28"/>
                <w:szCs w:val="28"/>
                <w:highlight w:val="none"/>
              </w:rPr>
            </w:pPr>
            <w:r>
              <w:rPr>
                <w:rFonts w:hint="eastAsia" w:ascii="仿宋_GB2312" w:hAnsi="Times New Roman" w:eastAsia="仿宋_GB2312" w:cs="Times New Roman"/>
                <w:kern w:val="2"/>
                <w:sz w:val="32"/>
                <w:szCs w:val="32"/>
                <w:highlight w:val="none"/>
                <w:lang w:val="en-US" w:eastAsia="zh-CN" w:bidi="ar-SA"/>
              </w:rPr>
              <w:t>100</w:t>
            </w:r>
          </w:p>
        </w:tc>
      </w:tr>
      <w:tr>
        <w:tblPrEx>
          <w:tblCellMar>
            <w:top w:w="0" w:type="dxa"/>
            <w:left w:w="10" w:type="dxa"/>
            <w:bottom w:w="0" w:type="dxa"/>
            <w:right w:w="10" w:type="dxa"/>
          </w:tblCellMar>
        </w:tblPrEx>
        <w:trPr>
          <w:trHeight w:val="702" w:hRule="exact"/>
        </w:trPr>
        <w:tc>
          <w:tcPr>
            <w:tcW w:w="88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楷体_GB2312" w:asciiTheme="minorEastAsia" w:hAnsiTheme="minorEastAsia"/>
                <w:sz w:val="28"/>
                <w:szCs w:val="28"/>
                <w:highlight w:val="none"/>
              </w:rPr>
            </w:pPr>
            <w:r>
              <w:rPr>
                <w:rFonts w:hint="eastAsia" w:ascii="仿宋_GB2312" w:hAnsi="Times New Roman" w:eastAsia="仿宋_GB2312" w:cs="Times New Roman"/>
                <w:kern w:val="2"/>
                <w:sz w:val="32"/>
                <w:szCs w:val="32"/>
                <w:highlight w:val="none"/>
                <w:lang w:val="en-US" w:eastAsia="zh-CN" w:bidi="ar-SA"/>
              </w:rPr>
              <w:t>分值</w:t>
            </w:r>
          </w:p>
        </w:tc>
        <w:tc>
          <w:tcPr>
            <w:tcW w:w="132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420" w:firstLineChars="0"/>
              <w:jc w:val="both"/>
              <w:rPr>
                <w:rFonts w:hint="default" w:cs="楷体_GB2312" w:asciiTheme="minorEastAsia" w:hAnsiTheme="minorEastAsia" w:eastAsiaTheme="minorEastAsia"/>
                <w:sz w:val="28"/>
                <w:szCs w:val="28"/>
                <w:highlight w:val="none"/>
                <w:lang w:val="en-US" w:eastAsia="zh-CN"/>
              </w:rPr>
            </w:pPr>
            <w:r>
              <w:rPr>
                <w:rFonts w:hint="eastAsia" w:cs="楷体_GB2312" w:asciiTheme="minorEastAsia" w:hAnsiTheme="minorEastAsia"/>
                <w:sz w:val="28"/>
                <w:szCs w:val="28"/>
                <w:highlight w:val="none"/>
                <w:lang w:val="en-US" w:eastAsia="zh-CN"/>
              </w:rPr>
              <w:t>12</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default" w:cs="楷体_GB2312" w:asciiTheme="minorEastAsia" w:hAnsiTheme="minorEastAsia" w:eastAsiaTheme="minorEastAsia"/>
                <w:sz w:val="28"/>
                <w:szCs w:val="28"/>
                <w:highlight w:val="none"/>
                <w:lang w:val="en-US" w:eastAsia="zh-CN"/>
              </w:rPr>
            </w:pPr>
            <w:r>
              <w:rPr>
                <w:rFonts w:hint="eastAsia" w:cs="楷体_GB2312" w:asciiTheme="minorEastAsia" w:hAnsiTheme="minorEastAsia"/>
                <w:sz w:val="28"/>
                <w:szCs w:val="28"/>
                <w:highlight w:val="none"/>
                <w:lang w:val="en-US" w:eastAsia="zh-CN"/>
              </w:rPr>
              <w:t>40</w:t>
            </w:r>
          </w:p>
        </w:tc>
        <w:tc>
          <w:tcPr>
            <w:tcW w:w="1644" w:type="dxa"/>
            <w:tcBorders>
              <w:top w:val="single" w:color="auto" w:sz="4" w:space="0"/>
              <w:left w:val="single" w:color="auto" w:sz="4" w:space="0"/>
              <w:bottom w:val="single" w:color="auto" w:sz="4" w:space="0"/>
              <w:right w:val="single" w:color="auto" w:sz="4" w:space="0"/>
            </w:tcBorders>
            <w:vAlign w:val="center"/>
          </w:tcPr>
          <w:p>
            <w:pPr>
              <w:spacing w:line="560" w:lineRule="exact"/>
              <w:ind w:firstLine="840" w:firstLineChars="300"/>
              <w:jc w:val="both"/>
              <w:rPr>
                <w:rFonts w:hint="default" w:cs="楷体_GB2312" w:asciiTheme="minorEastAsia" w:hAnsiTheme="minorEastAsia" w:eastAsiaTheme="minorEastAsia"/>
                <w:sz w:val="28"/>
                <w:szCs w:val="28"/>
                <w:highlight w:val="none"/>
                <w:lang w:val="en-US" w:eastAsia="zh-CN"/>
              </w:rPr>
            </w:pPr>
            <w:r>
              <w:rPr>
                <w:rFonts w:hint="eastAsia" w:cs="楷体_GB2312" w:asciiTheme="minorEastAsia" w:hAnsiTheme="minorEastAsia"/>
                <w:sz w:val="28"/>
                <w:szCs w:val="28"/>
                <w:highlight w:val="none"/>
                <w:lang w:val="en-US" w:eastAsia="zh-CN"/>
              </w:rPr>
              <w:t>19</w:t>
            </w:r>
          </w:p>
        </w:tc>
        <w:tc>
          <w:tcPr>
            <w:tcW w:w="1356" w:type="dxa"/>
            <w:tcBorders>
              <w:top w:val="single" w:color="auto" w:sz="4" w:space="0"/>
              <w:left w:val="single" w:color="auto" w:sz="4" w:space="0"/>
              <w:bottom w:val="single" w:color="auto" w:sz="4" w:space="0"/>
              <w:right w:val="single" w:color="auto" w:sz="4" w:space="0"/>
            </w:tcBorders>
            <w:vAlign w:val="center"/>
          </w:tcPr>
          <w:p>
            <w:pPr>
              <w:spacing w:line="560" w:lineRule="exact"/>
              <w:ind w:firstLine="420" w:firstLineChars="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6</w:t>
            </w:r>
          </w:p>
        </w:tc>
        <w:tc>
          <w:tcPr>
            <w:tcW w:w="1680"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firstLineChars="200"/>
              <w:jc w:val="both"/>
              <w:rPr>
                <w:rFonts w:hint="default" w:cs="楷体_GB2312" w:asciiTheme="minorEastAsia" w:hAnsiTheme="minorEastAsia" w:eastAsiaTheme="minorEastAsia"/>
                <w:sz w:val="28"/>
                <w:szCs w:val="28"/>
                <w:highlight w:val="none"/>
                <w:lang w:val="en-US" w:eastAsia="zh-CN"/>
              </w:rPr>
            </w:pPr>
            <w:r>
              <w:rPr>
                <w:rFonts w:hint="eastAsia" w:cs="楷体_GB2312" w:asciiTheme="minorEastAsia" w:hAnsiTheme="minorEastAsia"/>
                <w:sz w:val="28"/>
                <w:szCs w:val="28"/>
                <w:highlight w:val="none"/>
                <w:lang w:val="en-US" w:eastAsia="zh-CN"/>
              </w:rPr>
              <w:t>77</w:t>
            </w:r>
          </w:p>
        </w:tc>
      </w:tr>
    </w:tbl>
    <w:p>
      <w:pPr>
        <w:pStyle w:val="7"/>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注：针对本次评价报告，对辖区居民发放调查问卷100份，收回100份。通过分析和整理，被调查人员的满意度为95%，当地居民对C1-8幼儿园项目的成立表示了认可。但也指出了幼儿园在安全性、舒适性、收费、师资等方面需要进一步加强。</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11" w:name="_Toc22397"/>
      <w:r>
        <w:rPr>
          <w:rFonts w:hint="eastAsia" w:ascii="黑体" w:hAnsi="宋体" w:eastAsia="黑体" w:cs="宋体"/>
          <w:bCs/>
          <w:kern w:val="2"/>
          <w:sz w:val="32"/>
          <w:szCs w:val="32"/>
          <w:lang w:val="en-US" w:eastAsia="zh-CN" w:bidi="ar"/>
        </w:rPr>
        <w:t>十、存在的问题和建议</w:t>
      </w:r>
      <w:bookmarkEnd w:id="111"/>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12" w:name="_Toc11919"/>
      <w:r>
        <w:rPr>
          <w:rFonts w:hint="eastAsia" w:ascii="楷体_GB2312" w:hAnsi="楷体_GB2312" w:eastAsia="楷体_GB2312" w:cs="楷体_GB2312"/>
          <w:sz w:val="32"/>
          <w:szCs w:val="32"/>
          <w:lang w:val="en-US" w:eastAsia="zh-CN"/>
        </w:rPr>
        <w:t>10.1、存在的主要问题</w:t>
      </w:r>
      <w:bookmarkEnd w:id="112"/>
    </w:p>
    <w:p>
      <w:pPr>
        <w:ind w:firstLine="640" w:firstLineChars="200"/>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本次2200万元专项债资金于2022年3月至5月分五次将2200万元工程款汇入施工单位江西省梦远建设有限公司子公司赣州旭实建设有限公司账户,但C1-8幼儿园项目2023年5月16日才竣工。项目总预算为3010.75万元，在距离竣工结算1年时就支付了近73%的资金。</w:t>
      </w:r>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2、项目建设施工合同约定工期为240天，实际工期为500天（2021年12月15日开工，验收日期2023年5月16日），超工期完成。</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13" w:name="_Toc29114"/>
      <w:r>
        <w:rPr>
          <w:rFonts w:hint="eastAsia" w:ascii="楷体_GB2312" w:hAnsi="楷体_GB2312" w:eastAsia="楷体_GB2312" w:cs="楷体_GB2312"/>
          <w:sz w:val="32"/>
          <w:szCs w:val="32"/>
          <w:lang w:val="en-US" w:eastAsia="zh-CN"/>
        </w:rPr>
        <w:t>10.2、建议</w:t>
      </w:r>
      <w:bookmarkEnd w:id="113"/>
    </w:p>
    <w:p>
      <w:pPr>
        <w:pStyle w:val="7"/>
        <w:rPr>
          <w:rFonts w:hint="eastAsia" w:ascii="仿宋" w:hAnsi="仿宋" w:eastAsia="仿宋" w:cs="仿宋"/>
          <w:sz w:val="32"/>
          <w:szCs w:val="32"/>
          <w:highlight w:val="none"/>
        </w:rPr>
      </w:pPr>
      <w:r>
        <w:rPr>
          <w:rFonts w:hint="eastAsia" w:ascii="仿宋_GB2312" w:hAnsi="Times New Roman" w:eastAsia="仿宋_GB2312" w:cs="Times New Roman"/>
          <w:kern w:val="2"/>
          <w:sz w:val="32"/>
          <w:szCs w:val="32"/>
          <w:highlight w:val="none"/>
          <w:lang w:val="en-US" w:eastAsia="zh-CN" w:bidi="ar-SA"/>
        </w:rPr>
        <w:t>1、严格按照一般债券纳入一般公共预算管理、专项债纳入政府性基金预算管理的要求，确保债券资金专款专用、专账核算。严格按照债券发行信息披露约定的用途使用资金。加强对资金账户的监督检查。建设单位将监管施工单位资金流向的要求、内容和方法等纳入招标文件和施工合同中。严格按照财务制度和合同约定的验收计价、工程进度等确定资金拨付额度，严格执行“三重一大”事项集体决策制度，大额资金使用必须实行联签制度。严格资金拨付手续，严格执行建设资金决策、拨付程序，严格执行财务管理制度，强化财务人员内部监督建立互控机制，延伸检查施工单位的资金使用。建设单位应组织施工、监理相关单位对项目工程做好验收准备工作，及时跟进项目进度对项目进行计量和验收，严格按照财务制度和合同约定的验收计</w:t>
      </w:r>
      <w:r>
        <w:rPr>
          <w:rFonts w:hint="eastAsia" w:ascii="仿宋" w:hAnsi="仿宋" w:eastAsia="仿宋" w:cs="仿宋"/>
          <w:sz w:val="32"/>
          <w:szCs w:val="32"/>
          <w:highlight w:val="none"/>
        </w:rPr>
        <w:t>价、工程进度等确定资金拨付额度。确保资金支付与工程进度同步。</w:t>
      </w:r>
    </w:p>
    <w:p>
      <w:pPr>
        <w:pStyle w:val="7"/>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工程项目工期关系到建设业主、施工单位等成本和直接经济效益,同时也影响到工程安全及质量等。施工进度一旦赶不上合同工期,建设单位应及时组织各专业力量查找原因，是否是施工单位设备不足、施工组织不力，合同工期不合理、建设单位工程自筹资金不到位及设计变更较大等原因。为了使合同工期合理化、科学化,建议从以下几方面着手。</w:t>
      </w:r>
    </w:p>
    <w:p>
      <w:pPr>
        <w:pStyle w:val="7"/>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1</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严格依据本行业的定额工期</w:t>
      </w:r>
      <w:r>
        <w:rPr>
          <w:rFonts w:hint="eastAsia" w:ascii="仿宋_GB2312" w:hAnsi="Times New Roman" w:eastAsia="仿宋_GB2312" w:cs="Times New Roman"/>
          <w:kern w:val="2"/>
          <w:sz w:val="32"/>
          <w:szCs w:val="32"/>
          <w:lang w:val="en-US" w:eastAsia="zh-CN" w:bidi="ar-SA"/>
        </w:rPr>
        <w:t>签订合同</w:t>
      </w:r>
    </w:p>
    <w:p>
      <w:pPr>
        <w:pStyle w:val="7"/>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部分行业已制订并发布了项目建设所消耗的时间标准。但多数行业对此没有进行工期定额的编制。工期定额反映了一定时间内国家、地区、部门不同建设项目的建设和管理水平。应依据各行业自身特点,像制订概预算定额一样制订工期定额,用以指导建设项目的工期确定,以提高合同决策的科学性和合理性,避免领导意识和搞政绩工程。</w:t>
      </w:r>
    </w:p>
    <w:p>
      <w:pPr>
        <w:pStyle w:val="7"/>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2</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提高设计工作深度,削减工程量变更</w:t>
      </w:r>
    </w:p>
    <w:p>
      <w:pPr>
        <w:pStyle w:val="7"/>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工程量增加较大的主要原因是设计深度不够。为削减工程量突变的机会,在设计工作的各个阶段,都应严把设计质量关,加强设计工作的深度,专心计算设计工程量,特</w:t>
      </w:r>
      <w:r>
        <w:rPr>
          <w:rFonts w:hint="eastAsia" w:ascii="仿宋_GB2312" w:hAnsi="Times New Roman" w:eastAsia="仿宋_GB2312" w:cs="Times New Roman"/>
          <w:kern w:val="2"/>
          <w:sz w:val="32"/>
          <w:szCs w:val="32"/>
          <w:lang w:val="en-US" w:eastAsia="zh-CN" w:bidi="ar-SA"/>
        </w:rPr>
        <w:t>别</w:t>
      </w:r>
      <w:r>
        <w:rPr>
          <w:rFonts w:hint="default" w:ascii="仿宋_GB2312" w:hAnsi="Times New Roman" w:eastAsia="仿宋_GB2312" w:cs="Times New Roman"/>
          <w:kern w:val="2"/>
          <w:sz w:val="32"/>
          <w:szCs w:val="32"/>
          <w:lang w:val="en-US" w:eastAsia="zh-CN" w:bidi="ar-SA"/>
        </w:rPr>
        <w:t>是在投标设计阶段,更应专心认真,以削减设计变</w:t>
      </w:r>
      <w:r>
        <w:rPr>
          <w:rFonts w:hint="eastAsia" w:ascii="仿宋_GB2312" w:hAnsi="Times New Roman" w:eastAsia="仿宋_GB2312" w:cs="Times New Roman"/>
          <w:kern w:val="2"/>
          <w:sz w:val="32"/>
          <w:szCs w:val="32"/>
          <w:lang w:val="en-US" w:eastAsia="zh-CN" w:bidi="ar-SA"/>
        </w:rPr>
        <w:t>更</w:t>
      </w:r>
      <w:r>
        <w:rPr>
          <w:rFonts w:hint="default" w:ascii="仿宋_GB2312" w:hAnsi="Times New Roman" w:eastAsia="仿宋_GB2312" w:cs="Times New Roman"/>
          <w:kern w:val="2"/>
          <w:sz w:val="32"/>
          <w:szCs w:val="32"/>
          <w:lang w:val="en-US" w:eastAsia="zh-CN" w:bidi="ar-SA"/>
        </w:rPr>
        <w:t>工程量增大</w:t>
      </w:r>
      <w:r>
        <w:rPr>
          <w:rFonts w:hint="eastAsia" w:ascii="仿宋_GB2312" w:hAnsi="Times New Roman" w:eastAsia="仿宋_GB2312" w:cs="Times New Roman"/>
          <w:kern w:val="2"/>
          <w:sz w:val="32"/>
          <w:szCs w:val="32"/>
          <w:lang w:val="en-US" w:eastAsia="zh-CN" w:bidi="ar-SA"/>
        </w:rPr>
        <w:t>的概率</w:t>
      </w:r>
      <w:r>
        <w:rPr>
          <w:rFonts w:hint="default" w:ascii="仿宋_GB2312" w:hAnsi="Times New Roman" w:eastAsia="仿宋_GB2312" w:cs="Times New Roman"/>
          <w:kern w:val="2"/>
          <w:sz w:val="32"/>
          <w:szCs w:val="32"/>
          <w:lang w:val="en-US" w:eastAsia="zh-CN" w:bidi="ar-SA"/>
        </w:rPr>
        <w:t>。</w:t>
      </w:r>
    </w:p>
    <w:p>
      <w:pPr>
        <w:pStyle w:val="7"/>
        <w:numPr>
          <w:ilvl w:val="0"/>
          <w:numId w:val="2"/>
        </w:numPr>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强化施工组织设计和管理工作</w:t>
      </w:r>
    </w:p>
    <w:p>
      <w:pPr>
        <w:pStyle w:val="7"/>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施工单位要从人、材、机等方面专心认真对所担当的施工项目,进行施工组织设计和开展工作,业主和监理单位应对施工单位编制的施工组织设计进行了严格的审查,经批准的施工组织设计要监督施工单位严格执行,不能将施工组织设计停留在纸面上。</w:t>
      </w:r>
    </w:p>
    <w:p>
      <w:pPr>
        <w:pStyle w:val="7"/>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4</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进度掌握目标与施工进度计划</w:t>
      </w:r>
    </w:p>
    <w:p>
      <w:pPr>
        <w:pStyle w:val="7"/>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项目进度掌握应以实现合同商定的竣工日期为最终目标，这个目标首先由企业管理层担当。企业管理层依据经营方针在“项目目标管理责任书”中确定项目经理的进度掌握目标，项目经理依据这个目标在“施工项目管理实施规划”中编制施工进度计划，确定计划进度掌握目标，并进行进度目标分解。依据总进度目标可分解为交工分目标，可按承包的专业分为完工分目标，可按年季月周计划期分解为时间目标。施工进度计划是施工进度掌握的依据。因此</w:t>
      </w:r>
      <w:r>
        <w:rPr>
          <w:rFonts w:hint="eastAsia" w:ascii="仿宋_GB2312" w:hAnsi="Times New Roman" w:eastAsia="仿宋_GB2312" w:cs="Times New Roman"/>
          <w:kern w:val="2"/>
          <w:sz w:val="32"/>
          <w:szCs w:val="32"/>
          <w:lang w:val="en-US" w:eastAsia="zh-CN" w:bidi="ar-SA"/>
        </w:rPr>
        <w:t>如何</w:t>
      </w:r>
      <w:r>
        <w:rPr>
          <w:rFonts w:hint="default" w:ascii="仿宋_GB2312" w:hAnsi="Times New Roman" w:eastAsia="仿宋_GB2312" w:cs="Times New Roman"/>
          <w:kern w:val="2"/>
          <w:sz w:val="32"/>
          <w:szCs w:val="32"/>
          <w:lang w:val="en-US" w:eastAsia="zh-CN" w:bidi="ar-SA"/>
        </w:rPr>
        <w:t>编制施工进度计划以提高进度掌握的质量成为进度掌握的关键问题。由于施工进度计划分为施工总进度计划和单位工程施工进度计划两类，故其编制应分别对待。</w:t>
      </w:r>
    </w:p>
    <w:p>
      <w:pPr>
        <w:pStyle w:val="7"/>
        <w:rPr>
          <w:rFonts w:hint="eastAsia" w:cs="楷体_GB2312" w:asciiTheme="minorEastAsia" w:hAnsiTheme="minorEastAsia"/>
          <w:highlight w:val="yellow"/>
        </w:rPr>
      </w:pPr>
      <w:r>
        <w:rPr>
          <w:rFonts w:hint="eastAsia" w:ascii="仿宋_GB2312" w:hAnsi="Times New Roman" w:eastAsia="仿宋_GB2312" w:cs="Times New Roman"/>
          <w:kern w:val="2"/>
          <w:sz w:val="32"/>
          <w:szCs w:val="32"/>
          <w:lang w:val="en-US" w:eastAsia="zh-CN" w:bidi="ar-SA"/>
        </w:rPr>
        <w:t>（5）提高</w:t>
      </w:r>
      <w:r>
        <w:rPr>
          <w:rFonts w:hint="default" w:ascii="仿宋_GB2312" w:hAnsi="Times New Roman" w:eastAsia="仿宋_GB2312" w:cs="Times New Roman"/>
          <w:kern w:val="2"/>
          <w:sz w:val="32"/>
          <w:szCs w:val="32"/>
          <w:lang w:val="en-US" w:eastAsia="zh-CN" w:bidi="ar-SA"/>
        </w:rPr>
        <w:t>建设单位项目管理水平和综合业务能力</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14" w:name="_Toc899"/>
      <w:r>
        <w:rPr>
          <w:rFonts w:hint="eastAsia" w:ascii="黑体" w:hAnsi="宋体" w:eastAsia="黑体" w:cs="宋体"/>
          <w:bCs/>
          <w:kern w:val="2"/>
          <w:sz w:val="32"/>
          <w:szCs w:val="32"/>
          <w:lang w:val="en-US" w:eastAsia="zh-CN" w:bidi="ar"/>
        </w:rPr>
        <w:t>十一、其他需要说明的问题</w:t>
      </w:r>
      <w:bookmarkEnd w:id="114"/>
    </w:p>
    <w:p>
      <w:pPr>
        <w:pStyle w:val="7"/>
        <w:rPr>
          <w:rFonts w:hint="eastAsia" w:ascii="仿宋" w:hAnsi="仿宋" w:eastAsia="仿宋" w:cs="仿宋"/>
          <w:sz w:val="32"/>
          <w:szCs w:val="32"/>
        </w:rPr>
      </w:pPr>
      <w:bookmarkStart w:id="115" w:name="_Toc10714"/>
      <w:bookmarkStart w:id="116" w:name="_Toc764"/>
      <w:bookmarkStart w:id="117" w:name="_Toc24751"/>
      <w:r>
        <w:rPr>
          <w:rFonts w:hint="eastAsia" w:ascii="仿宋" w:hAnsi="仿宋" w:eastAsia="仿宋" w:cs="仿宋"/>
          <w:sz w:val="32"/>
          <w:szCs w:val="32"/>
        </w:rPr>
        <w:t>1、本绩效评价报告是在项目实施单位提供资料的基础上形成的。</w:t>
      </w:r>
      <w:bookmarkEnd w:id="115"/>
      <w:bookmarkEnd w:id="116"/>
      <w:bookmarkEnd w:id="117"/>
    </w:p>
    <w:p>
      <w:pPr>
        <w:pStyle w:val="7"/>
        <w:rPr>
          <w:rFonts w:hint="eastAsia" w:ascii="仿宋" w:hAnsi="仿宋" w:eastAsia="仿宋" w:cs="仿宋"/>
          <w:sz w:val="32"/>
          <w:szCs w:val="32"/>
        </w:rPr>
      </w:pPr>
      <w:r>
        <w:rPr>
          <w:rFonts w:hint="eastAsia" w:ascii="仿宋" w:hAnsi="仿宋" w:eastAsia="仿宋" w:cs="仿宋"/>
          <w:sz w:val="32"/>
          <w:szCs w:val="32"/>
        </w:rPr>
        <w:t>2、本绩效评价报告仅供赣州蓉江新区财政局对“</w:t>
      </w:r>
      <w:r>
        <w:rPr>
          <w:rFonts w:hint="eastAsia" w:ascii="仿宋" w:hAnsi="仿宋" w:eastAsia="仿宋" w:cs="仿宋"/>
          <w:kern w:val="2"/>
          <w:sz w:val="32"/>
          <w:szCs w:val="32"/>
          <w:lang w:val="en-US" w:eastAsia="zh-CN" w:bidi="ar-SA"/>
        </w:rPr>
        <w:t>2022年赣州蓉江新区C1-8幼儿园项目</w:t>
      </w:r>
      <w:r>
        <w:rPr>
          <w:rFonts w:hint="eastAsia" w:ascii="仿宋" w:hAnsi="仿宋" w:eastAsia="仿宋" w:cs="仿宋"/>
          <w:sz w:val="32"/>
          <w:szCs w:val="32"/>
        </w:rPr>
        <w:t>”</w:t>
      </w:r>
      <w:r>
        <w:rPr>
          <w:rFonts w:hint="eastAsia" w:ascii="仿宋" w:hAnsi="仿宋" w:eastAsia="仿宋" w:cs="仿宋"/>
          <w:sz w:val="32"/>
          <w:szCs w:val="32"/>
          <w:lang w:val="en-US" w:eastAsia="zh-CN"/>
        </w:rPr>
        <w:t>支出</w:t>
      </w:r>
      <w:r>
        <w:rPr>
          <w:rFonts w:hint="eastAsia" w:ascii="仿宋" w:hAnsi="仿宋" w:eastAsia="仿宋" w:cs="仿宋"/>
          <w:sz w:val="32"/>
          <w:szCs w:val="32"/>
        </w:rPr>
        <w:t>绩效评价相关工作使用，不作他用。</w:t>
      </w:r>
    </w:p>
    <w:p>
      <w:pPr>
        <w:ind w:firstLine="2240" w:firstLineChars="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w:t>
      </w:r>
    </w:p>
    <w:p>
      <w:pPr>
        <w:ind w:firstLine="5440" w:firstLineChars="1700"/>
        <w:jc w:val="right"/>
        <w:rPr>
          <w:rFonts w:hint="eastAsia" w:ascii="仿宋" w:hAnsi="仿宋" w:eastAsia="仿宋" w:cs="仿宋"/>
          <w:sz w:val="32"/>
          <w:szCs w:val="32"/>
        </w:rPr>
      </w:pPr>
      <w:r>
        <w:rPr>
          <w:rFonts w:hint="eastAsia" w:ascii="仿宋_GB2312" w:hAnsi="Times New Roman" w:eastAsia="仿宋_GB2312" w:cs="Times New Roman"/>
          <w:kern w:val="2"/>
          <w:sz w:val="32"/>
          <w:szCs w:val="32"/>
          <w:lang w:val="en-US" w:eastAsia="zh-CN" w:bidi="ar-SA"/>
        </w:rPr>
        <w:t>2023年12月31</w:t>
      </w:r>
      <w:bookmarkStart w:id="118" w:name="_GoBack"/>
      <w:bookmarkEnd w:id="118"/>
      <w:r>
        <w:rPr>
          <w:rFonts w:hint="eastAsia" w:ascii="仿宋_GB2312" w:hAnsi="Times New Roman" w:eastAsia="仿宋_GB2312" w:cs="Times New Roman"/>
          <w:kern w:val="2"/>
          <w:sz w:val="32"/>
          <w:szCs w:val="32"/>
          <w:lang w:val="en-US" w:eastAsia="zh-CN" w:bidi="ar-SA"/>
        </w:rPr>
        <w:t>日</w:t>
      </w:r>
    </w:p>
    <w:sectPr>
      <w:footerReference r:id="rId6" w:type="default"/>
      <w:pgSz w:w="11906" w:h="16838"/>
      <w:pgMar w:top="1417" w:right="1474" w:bottom="1417" w:left="1474" w:header="794" w:footer="82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r>
      <w:rPr>
        <w:rFonts w:hint="eastAsia"/>
      </w:rPr>
      <w:t>2022年赣州蓉江新区C1-8幼儿园项目支出绩效评价报告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9F74FD"/>
    <w:multiLevelType w:val="singleLevel"/>
    <w:tmpl w:val="8D9F74FD"/>
    <w:lvl w:ilvl="0" w:tentative="0">
      <w:start w:val="4"/>
      <w:numFmt w:val="chineseCounting"/>
      <w:suff w:val="nothing"/>
      <w:lvlText w:val="%1、"/>
      <w:lvlJc w:val="left"/>
      <w:rPr>
        <w:rFonts w:hint="eastAsia"/>
      </w:rPr>
    </w:lvl>
  </w:abstractNum>
  <w:abstractNum w:abstractNumId="1">
    <w:nsid w:val="34DA43DB"/>
    <w:multiLevelType w:val="singleLevel"/>
    <w:tmpl w:val="34DA43DB"/>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0MWIwZjg5ODFkNjdjN2ZkM2E5YTZlZmJlNDNiZjAifQ=="/>
  </w:docVars>
  <w:rsids>
    <w:rsidRoot w:val="006C3717"/>
    <w:rsid w:val="0011122E"/>
    <w:rsid w:val="00121EAE"/>
    <w:rsid w:val="00191D16"/>
    <w:rsid w:val="001D7DE9"/>
    <w:rsid w:val="003C4530"/>
    <w:rsid w:val="003E3E47"/>
    <w:rsid w:val="0040777A"/>
    <w:rsid w:val="004348EE"/>
    <w:rsid w:val="004E3043"/>
    <w:rsid w:val="005440D2"/>
    <w:rsid w:val="00582D04"/>
    <w:rsid w:val="006A19F5"/>
    <w:rsid w:val="006C3717"/>
    <w:rsid w:val="007113DE"/>
    <w:rsid w:val="0072423E"/>
    <w:rsid w:val="0087742E"/>
    <w:rsid w:val="0093799E"/>
    <w:rsid w:val="009A3BD2"/>
    <w:rsid w:val="009C7F20"/>
    <w:rsid w:val="00B511BA"/>
    <w:rsid w:val="00B84BC0"/>
    <w:rsid w:val="00D63F12"/>
    <w:rsid w:val="00D81911"/>
    <w:rsid w:val="00D93590"/>
    <w:rsid w:val="00E11364"/>
    <w:rsid w:val="00E12132"/>
    <w:rsid w:val="00E12810"/>
    <w:rsid w:val="00F117CA"/>
    <w:rsid w:val="03B72154"/>
    <w:rsid w:val="03F5025A"/>
    <w:rsid w:val="048209F9"/>
    <w:rsid w:val="04B62533"/>
    <w:rsid w:val="05F70ABC"/>
    <w:rsid w:val="09EB63F4"/>
    <w:rsid w:val="0A3B7763"/>
    <w:rsid w:val="0C811679"/>
    <w:rsid w:val="0E1146B6"/>
    <w:rsid w:val="0EF152D3"/>
    <w:rsid w:val="1001554C"/>
    <w:rsid w:val="11F343BF"/>
    <w:rsid w:val="13263089"/>
    <w:rsid w:val="16BA7482"/>
    <w:rsid w:val="16BB5752"/>
    <w:rsid w:val="17D86D38"/>
    <w:rsid w:val="18082EFA"/>
    <w:rsid w:val="199B6E4C"/>
    <w:rsid w:val="19AC4A14"/>
    <w:rsid w:val="1B0320BB"/>
    <w:rsid w:val="1B90151E"/>
    <w:rsid w:val="1BA64EEF"/>
    <w:rsid w:val="1C09174E"/>
    <w:rsid w:val="1CC37A84"/>
    <w:rsid w:val="1CCF1A49"/>
    <w:rsid w:val="1D65336F"/>
    <w:rsid w:val="1D9413D1"/>
    <w:rsid w:val="1F095917"/>
    <w:rsid w:val="1F35588A"/>
    <w:rsid w:val="208D148B"/>
    <w:rsid w:val="20C248BD"/>
    <w:rsid w:val="20CA43E2"/>
    <w:rsid w:val="20DA482A"/>
    <w:rsid w:val="20DA7771"/>
    <w:rsid w:val="20E406FC"/>
    <w:rsid w:val="20ED4E5A"/>
    <w:rsid w:val="221F5268"/>
    <w:rsid w:val="238B2DF7"/>
    <w:rsid w:val="240B77DC"/>
    <w:rsid w:val="24F86CC3"/>
    <w:rsid w:val="252B49CB"/>
    <w:rsid w:val="256A1E0D"/>
    <w:rsid w:val="27ED45EC"/>
    <w:rsid w:val="2954296A"/>
    <w:rsid w:val="29695641"/>
    <w:rsid w:val="2AC62ABD"/>
    <w:rsid w:val="2BFF5450"/>
    <w:rsid w:val="2C265B66"/>
    <w:rsid w:val="2E132621"/>
    <w:rsid w:val="2F536246"/>
    <w:rsid w:val="3236255A"/>
    <w:rsid w:val="324E562B"/>
    <w:rsid w:val="32594346"/>
    <w:rsid w:val="34F3155D"/>
    <w:rsid w:val="35D31FC5"/>
    <w:rsid w:val="37052E82"/>
    <w:rsid w:val="371F2CAB"/>
    <w:rsid w:val="379B307C"/>
    <w:rsid w:val="38585C02"/>
    <w:rsid w:val="397A453A"/>
    <w:rsid w:val="3A3A43A6"/>
    <w:rsid w:val="3AB770E0"/>
    <w:rsid w:val="3BDA5A66"/>
    <w:rsid w:val="3E1D0DCB"/>
    <w:rsid w:val="40385F17"/>
    <w:rsid w:val="42133C85"/>
    <w:rsid w:val="43750413"/>
    <w:rsid w:val="43E70D28"/>
    <w:rsid w:val="44276F7A"/>
    <w:rsid w:val="46285DFB"/>
    <w:rsid w:val="46AF5692"/>
    <w:rsid w:val="46CA3C36"/>
    <w:rsid w:val="46E54E1C"/>
    <w:rsid w:val="49334026"/>
    <w:rsid w:val="4BCA4340"/>
    <w:rsid w:val="4CF6765F"/>
    <w:rsid w:val="4D765CA0"/>
    <w:rsid w:val="4D795695"/>
    <w:rsid w:val="4DC61755"/>
    <w:rsid w:val="4E6E45F3"/>
    <w:rsid w:val="4EE51018"/>
    <w:rsid w:val="515C14C8"/>
    <w:rsid w:val="523B746D"/>
    <w:rsid w:val="5460301F"/>
    <w:rsid w:val="55CD6256"/>
    <w:rsid w:val="55D641A7"/>
    <w:rsid w:val="55DA1EFB"/>
    <w:rsid w:val="560B5E0D"/>
    <w:rsid w:val="565912C2"/>
    <w:rsid w:val="5736609C"/>
    <w:rsid w:val="584B7818"/>
    <w:rsid w:val="58D32255"/>
    <w:rsid w:val="597B64F6"/>
    <w:rsid w:val="5A861CC2"/>
    <w:rsid w:val="5A8F7A63"/>
    <w:rsid w:val="5A9A635F"/>
    <w:rsid w:val="5C8A0057"/>
    <w:rsid w:val="5D853632"/>
    <w:rsid w:val="5D981932"/>
    <w:rsid w:val="5EC84FF5"/>
    <w:rsid w:val="5FF86730"/>
    <w:rsid w:val="60AF76D8"/>
    <w:rsid w:val="60EE6C3E"/>
    <w:rsid w:val="626F5040"/>
    <w:rsid w:val="63126422"/>
    <w:rsid w:val="64412240"/>
    <w:rsid w:val="645C194C"/>
    <w:rsid w:val="65AE189E"/>
    <w:rsid w:val="65F655E1"/>
    <w:rsid w:val="66144F6E"/>
    <w:rsid w:val="661D5DA5"/>
    <w:rsid w:val="67F73615"/>
    <w:rsid w:val="68142211"/>
    <w:rsid w:val="69A56778"/>
    <w:rsid w:val="6A67088E"/>
    <w:rsid w:val="6CE8118C"/>
    <w:rsid w:val="6D1D12E0"/>
    <w:rsid w:val="703517BF"/>
    <w:rsid w:val="713D218C"/>
    <w:rsid w:val="71FF11AD"/>
    <w:rsid w:val="728D2D11"/>
    <w:rsid w:val="732C144E"/>
    <w:rsid w:val="7A555829"/>
    <w:rsid w:val="7B6905ED"/>
    <w:rsid w:val="7C550244"/>
    <w:rsid w:val="7CDC2397"/>
    <w:rsid w:val="7D182861"/>
    <w:rsid w:val="7DD333CF"/>
    <w:rsid w:val="7E714C0A"/>
    <w:rsid w:val="7EC33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autoRedefine/>
    <w:semiHidden/>
    <w:unhideWhenUsed/>
    <w:qFormat/>
    <w:uiPriority w:val="0"/>
    <w:pPr>
      <w:keepNext/>
      <w:keepLines/>
      <w:spacing w:beforeLines="100" w:line="600" w:lineRule="exact"/>
      <w:outlineLvl w:val="1"/>
    </w:pPr>
    <w:rPr>
      <w:rFonts w:ascii="Arial" w:hAnsi="Arial" w:eastAsia="黑体" w:cs="Times New Roman"/>
    </w:rPr>
  </w:style>
  <w:style w:type="character" w:default="1" w:styleId="18">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4">
    <w:name w:val="toa heading"/>
    <w:basedOn w:val="1"/>
    <w:next w:val="1"/>
    <w:autoRedefine/>
    <w:qFormat/>
    <w:uiPriority w:val="0"/>
    <w:pPr>
      <w:spacing w:before="120"/>
    </w:pPr>
    <w:rPr>
      <w:rFonts w:ascii="Cambria" w:hAnsi="Cambria" w:cs="Times New Roman"/>
      <w:sz w:val="24"/>
    </w:rPr>
  </w:style>
  <w:style w:type="paragraph" w:styleId="5">
    <w:name w:val="annotation text"/>
    <w:basedOn w:val="1"/>
    <w:autoRedefine/>
    <w:qFormat/>
    <w:uiPriority w:val="0"/>
    <w:pPr>
      <w:jc w:val="left"/>
    </w:pPr>
  </w:style>
  <w:style w:type="paragraph" w:styleId="6">
    <w:name w:val="Body Text"/>
    <w:basedOn w:val="1"/>
    <w:next w:val="7"/>
    <w:autoRedefine/>
    <w:unhideWhenUsed/>
    <w:qFormat/>
    <w:uiPriority w:val="99"/>
    <w:pPr>
      <w:spacing w:after="120"/>
    </w:pPr>
  </w:style>
  <w:style w:type="paragraph" w:styleId="7">
    <w:name w:val="Body Text Indent 2"/>
    <w:basedOn w:val="1"/>
    <w:autoRedefine/>
    <w:qFormat/>
    <w:uiPriority w:val="0"/>
    <w:pPr>
      <w:ind w:firstLine="570"/>
    </w:pPr>
    <w:rPr>
      <w:sz w:val="28"/>
      <w:szCs w:val="28"/>
    </w:rPr>
  </w:style>
  <w:style w:type="paragraph" w:styleId="8">
    <w:name w:val="Body Text Indent"/>
    <w:basedOn w:val="1"/>
    <w:autoRedefine/>
    <w:qFormat/>
    <w:uiPriority w:val="0"/>
    <w:pPr>
      <w:keepNext w:val="0"/>
      <w:keepLines w:val="0"/>
      <w:widowControl w:val="0"/>
      <w:suppressLineNumbers w:val="0"/>
      <w:spacing w:before="0" w:beforeAutospacing="0" w:after="120" w:afterAutospacing="0"/>
      <w:ind w:left="420" w:leftChars="200" w:right="0"/>
      <w:jc w:val="both"/>
    </w:pPr>
    <w:rPr>
      <w:rFonts w:hint="default" w:ascii="Calibri" w:hAnsi="Calibri" w:eastAsia="宋体" w:cs="Times New Roman"/>
      <w:kern w:val="2"/>
      <w:sz w:val="21"/>
      <w:szCs w:val="24"/>
      <w:lang w:val="en-US" w:eastAsia="zh-CN" w:bidi="ar"/>
    </w:rPr>
  </w:style>
  <w:style w:type="paragraph" w:styleId="9">
    <w:name w:val="toc 3"/>
    <w:basedOn w:val="1"/>
    <w:next w:val="1"/>
    <w:autoRedefine/>
    <w:unhideWhenUsed/>
    <w:qFormat/>
    <w:uiPriority w:val="39"/>
    <w:pPr>
      <w:widowControl/>
      <w:spacing w:after="100" w:line="259" w:lineRule="auto"/>
      <w:ind w:left="440"/>
      <w:jc w:val="left"/>
    </w:pPr>
    <w:rPr>
      <w:rFonts w:ascii="等线" w:hAnsi="等线" w:eastAsia="等线"/>
      <w:kern w:val="0"/>
      <w:sz w:val="22"/>
    </w:rPr>
  </w:style>
  <w:style w:type="paragraph" w:styleId="10">
    <w:name w:val="Balloon Text"/>
    <w:basedOn w:val="1"/>
    <w:link w:val="25"/>
    <w:autoRedefine/>
    <w:qFormat/>
    <w:uiPriority w:val="0"/>
    <w:rPr>
      <w:sz w:val="18"/>
      <w:szCs w:val="18"/>
    </w:rPr>
  </w:style>
  <w:style w:type="paragraph" w:styleId="11">
    <w:name w:val="footer"/>
    <w:basedOn w:val="1"/>
    <w:link w:val="27"/>
    <w:autoRedefine/>
    <w:qFormat/>
    <w:uiPriority w:val="0"/>
    <w:pPr>
      <w:tabs>
        <w:tab w:val="center" w:pos="4153"/>
        <w:tab w:val="right" w:pos="8306"/>
      </w:tabs>
      <w:snapToGrid w:val="0"/>
      <w:jc w:val="left"/>
    </w:pPr>
    <w:rPr>
      <w:sz w:val="18"/>
      <w:szCs w:val="18"/>
    </w:rPr>
  </w:style>
  <w:style w:type="paragraph" w:styleId="12">
    <w:name w:val="header"/>
    <w:basedOn w:val="1"/>
    <w:link w:val="26"/>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39"/>
    <w:pPr>
      <w:widowControl/>
      <w:spacing w:after="100" w:line="259" w:lineRule="auto"/>
      <w:jc w:val="left"/>
    </w:pPr>
    <w:rPr>
      <w:rFonts w:ascii="等线" w:hAnsi="等线" w:eastAsia="等线"/>
      <w:kern w:val="0"/>
      <w:sz w:val="22"/>
    </w:rPr>
  </w:style>
  <w:style w:type="paragraph" w:styleId="14">
    <w:name w:val="toc 2"/>
    <w:basedOn w:val="1"/>
    <w:next w:val="1"/>
    <w:autoRedefine/>
    <w:unhideWhenUsed/>
    <w:qFormat/>
    <w:uiPriority w:val="39"/>
    <w:pPr>
      <w:widowControl/>
      <w:spacing w:after="100" w:line="259" w:lineRule="auto"/>
      <w:ind w:left="220"/>
      <w:jc w:val="left"/>
    </w:pPr>
    <w:rPr>
      <w:rFonts w:ascii="等线" w:hAnsi="等线" w:eastAsia="等线"/>
      <w:kern w:val="0"/>
      <w:sz w:val="22"/>
    </w:rPr>
  </w:style>
  <w:style w:type="paragraph" w:styleId="1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autoRedefine/>
    <w:unhideWhenUsed/>
    <w:qFormat/>
    <w:uiPriority w:val="99"/>
    <w:rPr>
      <w:color w:val="0563C1"/>
      <w:u w:val="single"/>
    </w:rPr>
  </w:style>
  <w:style w:type="paragraph" w:customStyle="1" w:styleId="20">
    <w:name w:val="样式1"/>
    <w:basedOn w:val="1"/>
    <w:autoRedefine/>
    <w:qFormat/>
    <w:uiPriority w:val="0"/>
  </w:style>
  <w:style w:type="paragraph" w:customStyle="1" w:styleId="21">
    <w:name w:val="正文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22">
    <w:name w:val="WPSOffice手动目录 1"/>
    <w:autoRedefine/>
    <w:qFormat/>
    <w:uiPriority w:val="0"/>
    <w:rPr>
      <w:rFonts w:ascii="Times New Roman" w:hAnsi="Times New Roman" w:eastAsia="宋体" w:cs="Times New Roman"/>
      <w:lang w:val="en-US" w:eastAsia="zh-CN" w:bidi="ar-SA"/>
    </w:rPr>
  </w:style>
  <w:style w:type="paragraph" w:customStyle="1" w:styleId="2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24">
    <w:name w:val="WPSOffice手动目录 3"/>
    <w:autoRedefine/>
    <w:qFormat/>
    <w:uiPriority w:val="0"/>
    <w:pPr>
      <w:ind w:left="400" w:leftChars="400"/>
    </w:pPr>
    <w:rPr>
      <w:rFonts w:ascii="Times New Roman" w:hAnsi="Times New Roman" w:eastAsia="宋体" w:cs="Times New Roman"/>
      <w:lang w:val="en-US" w:eastAsia="zh-CN" w:bidi="ar-SA"/>
    </w:rPr>
  </w:style>
  <w:style w:type="character" w:customStyle="1" w:styleId="25">
    <w:name w:val="批注框文本 Char"/>
    <w:basedOn w:val="18"/>
    <w:link w:val="10"/>
    <w:autoRedefine/>
    <w:qFormat/>
    <w:uiPriority w:val="0"/>
    <w:rPr>
      <w:rFonts w:asciiTheme="minorHAnsi" w:hAnsiTheme="minorHAnsi" w:eastAsiaTheme="minorEastAsia" w:cstheme="minorBidi"/>
      <w:kern w:val="2"/>
      <w:sz w:val="18"/>
      <w:szCs w:val="18"/>
    </w:rPr>
  </w:style>
  <w:style w:type="character" w:customStyle="1" w:styleId="26">
    <w:name w:val="页眉 Char"/>
    <w:basedOn w:val="18"/>
    <w:link w:val="12"/>
    <w:autoRedefine/>
    <w:qFormat/>
    <w:uiPriority w:val="0"/>
    <w:rPr>
      <w:rFonts w:asciiTheme="minorHAnsi" w:hAnsiTheme="minorHAnsi" w:eastAsiaTheme="minorEastAsia" w:cstheme="minorBidi"/>
      <w:kern w:val="2"/>
      <w:sz w:val="18"/>
      <w:szCs w:val="18"/>
    </w:rPr>
  </w:style>
  <w:style w:type="character" w:customStyle="1" w:styleId="27">
    <w:name w:val="页脚 Char"/>
    <w:basedOn w:val="18"/>
    <w:link w:val="11"/>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1458</Words>
  <Characters>8317</Characters>
  <Lines>69</Lines>
  <Paragraphs>19</Paragraphs>
  <TotalTime>18</TotalTime>
  <ScaleCrop>false</ScaleCrop>
  <LinksUpToDate>false</LinksUpToDate>
  <CharactersWithSpaces>9756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2021-01-04T07:08:00Z</dcterms:created>
  <dc:creator>Administrator</dc:creator>
  <cp:lastModifiedBy>Mango</cp:lastModifiedBy>
  <cp:lastPrinted>2022-08-11T09:06:00Z</cp:lastPrinted>
  <dcterms:modified xsi:type="dcterms:W3CDTF">2024-04-22T02:25:11Z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20D6D85B5CC54023AC1F0AB48B6A41AD</vt:lpwstr>
  </property>
</Properties>
</file>