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p>
    <w:p>
      <w:pPr>
        <w:jc w:val="center"/>
        <w:rPr>
          <w:sz w:val="44"/>
          <w:szCs w:val="44"/>
        </w:rPr>
      </w:pPr>
    </w:p>
    <w:p>
      <w:pPr>
        <w:jc w:val="center"/>
        <w:rPr>
          <w:sz w:val="44"/>
          <w:szCs w:val="44"/>
        </w:rPr>
      </w:pPr>
    </w:p>
    <w:p>
      <w:pPr>
        <w:jc w:val="both"/>
        <w:rPr>
          <w:sz w:val="44"/>
          <w:szCs w:val="44"/>
        </w:rPr>
      </w:pPr>
    </w:p>
    <w:p>
      <w:pPr>
        <w:bidi w:val="0"/>
        <w:jc w:val="center"/>
        <w:rPr>
          <w:rFonts w:hint="eastAsia" w:ascii="宋体" w:hAnsi="宋体" w:eastAsia="宋体" w:cs="宋体"/>
          <w:b/>
          <w:bCs/>
          <w:sz w:val="44"/>
          <w:szCs w:val="44"/>
        </w:rPr>
      </w:pPr>
      <w:bookmarkStart w:id="0" w:name="_Toc21651"/>
      <w:bookmarkStart w:id="1" w:name="_Toc29321"/>
      <w:bookmarkStart w:id="2" w:name="_Toc23207"/>
      <w:r>
        <w:rPr>
          <w:rFonts w:hint="eastAsia" w:ascii="宋体" w:hAnsi="宋体" w:eastAsia="宋体" w:cs="宋体"/>
          <w:b/>
          <w:bCs/>
          <w:sz w:val="44"/>
          <w:szCs w:val="44"/>
        </w:rPr>
        <w:t>赣州蓉江新区潭东镇人民政府</w:t>
      </w:r>
    </w:p>
    <w:p>
      <w:pPr>
        <w:bidi w:val="0"/>
        <w:jc w:val="center"/>
        <w:rPr>
          <w:rFonts w:hint="eastAsia" w:ascii="宋体" w:hAnsi="宋体" w:eastAsia="宋体" w:cs="宋体"/>
          <w:b/>
          <w:bCs/>
          <w:sz w:val="44"/>
          <w:szCs w:val="44"/>
        </w:rPr>
      </w:pPr>
      <w:r>
        <w:rPr>
          <w:rFonts w:hint="eastAsia" w:ascii="宋体" w:hAnsi="宋体" w:eastAsia="宋体" w:cs="宋体"/>
          <w:b/>
          <w:bCs/>
          <w:sz w:val="44"/>
          <w:szCs w:val="44"/>
        </w:rPr>
        <w:t>2022年度部门整体支出绩效评价报告</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cs="仿宋_GB2312" w:asciiTheme="majorEastAsia" w:hAnsiTheme="majorEastAsia" w:eastAsiaTheme="majorEastAsia"/>
          <w:color w:val="auto"/>
          <w:sz w:val="28"/>
          <w:szCs w:val="28"/>
          <w:highlight w:val="yellow"/>
          <w:u w:val="none"/>
        </w:rPr>
      </w:pPr>
      <w:r>
        <w:rPr>
          <w:rFonts w:hint="eastAsia" w:cs="仿宋" w:asciiTheme="majorEastAsia" w:hAnsiTheme="majorEastAsia" w:eastAsiaTheme="majorEastAsia"/>
          <w:sz w:val="28"/>
          <w:szCs w:val="28"/>
          <w:u w:val="none"/>
        </w:rPr>
        <w:t>国众联咨报字﹝</w:t>
      </w:r>
      <w:r>
        <w:rPr>
          <w:rFonts w:hint="eastAsia" w:cs="仿宋" w:asciiTheme="majorEastAsia" w:hAnsiTheme="majorEastAsia" w:eastAsiaTheme="majorEastAsia"/>
          <w:sz w:val="28"/>
          <w:szCs w:val="28"/>
          <w:u w:val="none"/>
          <w:lang w:val="en-US" w:eastAsia="zh-CN"/>
        </w:rPr>
        <w:t>2024</w:t>
      </w:r>
      <w:r>
        <w:rPr>
          <w:rFonts w:hint="eastAsia" w:cs="仿宋" w:asciiTheme="majorEastAsia" w:hAnsiTheme="majorEastAsia" w:eastAsiaTheme="majorEastAsia"/>
          <w:sz w:val="28"/>
          <w:szCs w:val="28"/>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0021</w:t>
      </w:r>
      <w:r>
        <w:rPr>
          <w:rFonts w:hint="eastAsia" w:cs="仿宋" w:asciiTheme="majorEastAsia" w:hAnsiTheme="majorEastAsia" w:eastAsiaTheme="majorEastAsia"/>
          <w:sz w:val="28"/>
          <w:szCs w:val="28"/>
          <w:u w:val="none"/>
        </w:rPr>
        <w:t>号</w:t>
      </w:r>
    </w:p>
    <w:p>
      <w:pPr>
        <w:jc w:val="center"/>
        <w:rPr>
          <w:rFonts w:asciiTheme="majorEastAsia" w:hAnsiTheme="majorEastAsia" w:eastAsiaTheme="majorEastAsia"/>
          <w:b/>
          <w:sz w:val="28"/>
          <w:szCs w:val="28"/>
        </w:rPr>
      </w:pPr>
    </w:p>
    <w:p/>
    <w:p>
      <w:pPr>
        <w:pStyle w:val="2"/>
      </w:pPr>
    </w:p>
    <w:p/>
    <w:p/>
    <w:p/>
    <w:p/>
    <w:p/>
    <w:p/>
    <w:p/>
    <w:p/>
    <w:p>
      <w:pPr>
        <w:rPr>
          <w:b/>
          <w:sz w:val="30"/>
          <w:szCs w:val="30"/>
        </w:rPr>
      </w:pPr>
      <w:r>
        <w:rPr>
          <w:rFonts w:hint="eastAsia" w:ascii="仿宋" w:hAnsi="仿宋" w:eastAsia="仿宋"/>
          <w:sz w:val="32"/>
          <w:szCs w:val="32"/>
        </w:rPr>
        <w:t>项目名称：赣州蓉江新区</w:t>
      </w:r>
      <w:r>
        <w:rPr>
          <w:rFonts w:hint="eastAsia" w:ascii="仿宋" w:hAnsi="仿宋" w:eastAsia="仿宋"/>
          <w:sz w:val="32"/>
          <w:szCs w:val="32"/>
          <w:lang w:val="en-US" w:eastAsia="zh-CN"/>
        </w:rPr>
        <w:t>潭东镇人民政府</w:t>
      </w:r>
      <w:r>
        <w:rPr>
          <w:rFonts w:hint="eastAsia" w:ascii="仿宋" w:hAnsi="仿宋" w:eastAsia="仿宋"/>
          <w:sz w:val="32"/>
          <w:szCs w:val="32"/>
        </w:rPr>
        <w:t>2022年度</w:t>
      </w:r>
      <w:r>
        <w:rPr>
          <w:rFonts w:hint="eastAsia" w:ascii="仿宋" w:hAnsi="仿宋" w:eastAsia="仿宋"/>
          <w:sz w:val="32"/>
          <w:szCs w:val="32"/>
          <w:lang w:val="en-US" w:eastAsia="zh-CN"/>
        </w:rPr>
        <w:t>部门</w:t>
      </w:r>
      <w:r>
        <w:rPr>
          <w:rFonts w:hint="eastAsia" w:ascii="仿宋" w:hAnsi="仿宋" w:eastAsia="仿宋"/>
          <w:sz w:val="32"/>
          <w:szCs w:val="32"/>
        </w:rPr>
        <w:t>整体支出</w:t>
      </w:r>
    </w:p>
    <w:p>
      <w:pPr>
        <w:rPr>
          <w:rFonts w:ascii="仿宋" w:hAnsi="仿宋" w:eastAsia="仿宋"/>
          <w:sz w:val="32"/>
          <w:szCs w:val="32"/>
        </w:rPr>
      </w:pPr>
      <w:r>
        <w:rPr>
          <w:rFonts w:hint="eastAsia" w:ascii="仿宋" w:hAnsi="仿宋" w:eastAsia="仿宋"/>
          <w:sz w:val="32"/>
          <w:szCs w:val="32"/>
          <w:lang w:val="en-US" w:eastAsia="zh-CN"/>
        </w:rPr>
        <w:t>项目</w:t>
      </w:r>
      <w:r>
        <w:rPr>
          <w:rFonts w:hint="eastAsia" w:ascii="仿宋" w:hAnsi="仿宋" w:eastAsia="仿宋"/>
          <w:sz w:val="32"/>
          <w:szCs w:val="32"/>
        </w:rPr>
        <w:t>单位：赣州蓉江新区潭东镇人民政府</w:t>
      </w:r>
    </w:p>
    <w:p>
      <w:pPr>
        <w:rPr>
          <w:rFonts w:ascii="仿宋" w:hAnsi="仿宋" w:eastAsia="仿宋"/>
          <w:sz w:val="32"/>
          <w:szCs w:val="32"/>
        </w:rPr>
      </w:pPr>
      <w:r>
        <w:rPr>
          <w:rFonts w:hint="eastAsia" w:ascii="仿宋" w:hAnsi="仿宋" w:eastAsia="仿宋"/>
          <w:sz w:val="32"/>
          <w:szCs w:val="32"/>
        </w:rPr>
        <w:t>委托单位：赣州蓉江新区财政局</w:t>
      </w:r>
    </w:p>
    <w:p>
      <w:pPr>
        <w:rPr>
          <w:rFonts w:ascii="仿宋" w:hAnsi="仿宋" w:eastAsia="仿宋"/>
          <w:sz w:val="32"/>
          <w:szCs w:val="32"/>
        </w:rPr>
      </w:pPr>
      <w:r>
        <w:rPr>
          <w:rFonts w:hint="eastAsia" w:ascii="仿宋" w:hAnsi="仿宋" w:eastAsia="仿宋"/>
          <w:sz w:val="32"/>
          <w:szCs w:val="32"/>
        </w:rPr>
        <w:t>评价机构：国众联资产评估土地房地产估价有限公司</w:t>
      </w:r>
    </w:p>
    <w:p>
      <w:pPr>
        <w:rPr>
          <w:rFonts w:ascii="仿宋" w:hAnsi="仿宋" w:eastAsia="仿宋"/>
          <w:sz w:val="32"/>
          <w:szCs w:val="32"/>
        </w:rPr>
        <w:sectPr>
          <w:headerReference r:id="rId4" w:type="first"/>
          <w:headerReference r:id="rId3" w:type="default"/>
          <w:pgSz w:w="11906" w:h="16838"/>
          <w:pgMar w:top="1440" w:right="1800" w:bottom="1440" w:left="1800" w:header="851" w:footer="992" w:gutter="0"/>
          <w:cols w:space="425" w:num="1"/>
          <w:titlePg/>
          <w:docGrid w:type="lines" w:linePitch="312" w:charSpace="0"/>
        </w:sectPr>
      </w:pPr>
      <w:r>
        <w:rPr>
          <w:rFonts w:hint="eastAsia" w:ascii="仿宋" w:hAnsi="仿宋" w:eastAsia="仿宋"/>
          <w:sz w:val="32"/>
          <w:szCs w:val="32"/>
        </w:rPr>
        <w:t>报告日期：二</w:t>
      </w:r>
      <w:r>
        <w:rPr>
          <w:rFonts w:hint="eastAsia" w:ascii="仿宋" w:hAnsi="仿宋" w:eastAsia="仿宋"/>
          <w:sz w:val="32"/>
          <w:szCs w:val="32"/>
          <w:lang w:val="en-US" w:eastAsia="zh-CN"/>
        </w:rPr>
        <w:t>零</w:t>
      </w:r>
      <w:r>
        <w:rPr>
          <w:rFonts w:hint="eastAsia" w:ascii="仿宋" w:hAnsi="仿宋" w:eastAsia="仿宋"/>
          <w:sz w:val="32"/>
          <w:szCs w:val="32"/>
        </w:rPr>
        <w:t>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bidi w:val="0"/>
        <w:jc w:val="center"/>
        <w:rPr>
          <w:rFonts w:hint="eastAsia" w:ascii="宋体" w:hAnsi="宋体" w:eastAsia="宋体" w:cs="宋体"/>
          <w:b/>
          <w:bCs/>
          <w:sz w:val="44"/>
          <w:szCs w:val="44"/>
        </w:rPr>
      </w:pPr>
      <w:r>
        <w:rPr>
          <w:rFonts w:hint="eastAsia" w:ascii="宋体" w:hAnsi="宋体" w:eastAsia="宋体" w:cs="宋体"/>
          <w:b/>
          <w:bCs/>
          <w:sz w:val="44"/>
          <w:szCs w:val="44"/>
        </w:rPr>
        <w:t>摘  要</w:t>
      </w:r>
    </w:p>
    <w:p>
      <w:pPr>
        <w:bidi w:val="0"/>
      </w:pPr>
      <w:bookmarkStart w:id="3" w:name="_Toc24995"/>
      <w:bookmarkStart w:id="4" w:name="_Toc20683"/>
      <w:bookmarkStart w:id="5" w:name="_Toc9221"/>
    </w:p>
    <w:p>
      <w:pPr>
        <w:bidi w:val="0"/>
        <w:rPr>
          <w:rFonts w:hint="eastAsia" w:ascii="仿宋" w:hAnsi="仿宋" w:eastAsia="仿宋" w:cs="仿宋"/>
          <w:b/>
          <w:bCs/>
          <w:sz w:val="32"/>
          <w:szCs w:val="32"/>
        </w:rPr>
      </w:pPr>
      <w:r>
        <w:rPr>
          <w:rFonts w:hint="eastAsia" w:ascii="仿宋" w:hAnsi="仿宋" w:eastAsia="仿宋" w:cs="仿宋"/>
          <w:b/>
          <w:bCs/>
          <w:sz w:val="32"/>
          <w:szCs w:val="32"/>
        </w:rPr>
        <w:t>一、部门整体支出概况</w:t>
      </w:r>
      <w:bookmarkEnd w:id="3"/>
      <w:bookmarkEnd w:id="4"/>
      <w:bookmarkEnd w:id="5"/>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年度单位预算情况—2022年年初预算收入总计2337.41万元，全部为一般公共预算拨款收入。年初预算支出2337.41万元，其中：基本支出1146.76万元，项目支出1190.65万元。</w:t>
      </w:r>
    </w:p>
    <w:p>
      <w:pPr>
        <w:pStyle w:val="2"/>
        <w:spacing w:line="520" w:lineRule="exact"/>
        <w:ind w:firstLine="616"/>
      </w:pPr>
      <w:r>
        <w:rPr>
          <w:rFonts w:hint="eastAsia" w:ascii="仿宋" w:hAnsi="仿宋" w:eastAsia="仿宋"/>
          <w:spacing w:val="-6"/>
          <w:sz w:val="32"/>
          <w:szCs w:val="32"/>
        </w:rPr>
        <w:t>2022年预算调整收入1115.41万元，调整后预算总收入3452.82万元。</w:t>
      </w:r>
    </w:p>
    <w:p>
      <w:pPr>
        <w:spacing w:line="520" w:lineRule="exact"/>
        <w:ind w:firstLine="616" w:firstLineChars="200"/>
        <w:jc w:val="left"/>
        <w:rPr>
          <w:rFonts w:ascii="仿宋" w:hAnsi="仿宋" w:eastAsia="仿宋"/>
          <w:sz w:val="32"/>
          <w:szCs w:val="32"/>
        </w:rPr>
      </w:pPr>
      <w:r>
        <w:rPr>
          <w:rFonts w:hint="eastAsia" w:ascii="仿宋" w:hAnsi="仿宋" w:eastAsia="仿宋"/>
          <w:spacing w:val="-6"/>
          <w:sz w:val="32"/>
          <w:szCs w:val="32"/>
        </w:rPr>
        <w:t>年度单位预算执行情况—2022年度决算收入总额</w:t>
      </w:r>
      <w:r>
        <w:rPr>
          <w:rFonts w:hint="eastAsia" w:ascii="仿宋" w:hAnsi="仿宋" w:eastAsia="仿宋"/>
          <w:sz w:val="32"/>
          <w:szCs w:val="32"/>
        </w:rPr>
        <w:t>3452.82万元，其中：本年一般公共预算财政拨款收入3452.82万元。</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2022年度决算支出3452.82万元，其中：</w:t>
      </w:r>
      <w:r>
        <w:rPr>
          <w:rFonts w:ascii="仿宋" w:hAnsi="仿宋" w:eastAsia="仿宋"/>
          <w:sz w:val="32"/>
          <w:szCs w:val="32"/>
        </w:rPr>
        <w:fldChar w:fldCharType="begin"/>
      </w:r>
      <w:r>
        <w:rPr>
          <w:rFonts w:hint="eastAsia" w:ascii="仿宋" w:hAnsi="仿宋" w:eastAsia="仿宋"/>
          <w:sz w:val="32"/>
          <w:szCs w:val="32"/>
        </w:rPr>
        <w:instrText xml:space="preserve">= 1 \* GB3</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按支出性质分类：基本支出2107.31万元，项目支出1345.50万元；</w:t>
      </w:r>
      <w:r>
        <w:rPr>
          <w:rFonts w:ascii="仿宋" w:hAnsi="仿宋" w:eastAsia="仿宋"/>
          <w:sz w:val="32"/>
          <w:szCs w:val="32"/>
        </w:rPr>
        <w:fldChar w:fldCharType="begin"/>
      </w:r>
      <w:r>
        <w:rPr>
          <w:rFonts w:hint="eastAsia" w:ascii="仿宋" w:hAnsi="仿宋" w:eastAsia="仿宋"/>
          <w:sz w:val="32"/>
          <w:szCs w:val="32"/>
        </w:rPr>
        <w:instrText xml:space="preserve">= 2 \* GB3</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基本支出按经济分类：工资福利支出2107.31万元、商品和服务支出0万元、对个人和家庭补助支出0万元。</w:t>
      </w:r>
    </w:p>
    <w:p>
      <w:pPr>
        <w:pStyle w:val="2"/>
        <w:spacing w:line="520" w:lineRule="exact"/>
        <w:ind w:firstLine="640"/>
        <w:rPr>
          <w:rFonts w:hint="eastAsia" w:ascii="仿宋" w:hAnsi="仿宋" w:eastAsia="仿宋"/>
          <w:sz w:val="32"/>
          <w:szCs w:val="32"/>
        </w:rPr>
      </w:pPr>
      <w:r>
        <w:rPr>
          <w:rFonts w:hint="eastAsia" w:ascii="仿宋" w:hAnsi="仿宋" w:eastAsia="仿宋"/>
          <w:sz w:val="32"/>
          <w:szCs w:val="32"/>
        </w:rPr>
        <w:t>基本支出中人员经费支出2107.31万元，占基本支出的100%，日常公用经费支出0万元（日常公用经费实际在人员经费中列支126.70万元），占基本支出的0%。</w:t>
      </w:r>
    </w:p>
    <w:p>
      <w:pPr>
        <w:pStyle w:val="2"/>
        <w:spacing w:line="520" w:lineRule="exact"/>
        <w:ind w:firstLine="640"/>
        <w:rPr>
          <w:rFonts w:hint="eastAsia" w:ascii="仿宋" w:hAnsi="仿宋" w:eastAsia="仿宋"/>
          <w:sz w:val="32"/>
          <w:szCs w:val="32"/>
        </w:rPr>
      </w:pPr>
    </w:p>
    <w:p>
      <w:pPr>
        <w:bidi w:val="0"/>
        <w:rPr>
          <w:rFonts w:hint="eastAsia" w:ascii="仿宋" w:hAnsi="仿宋" w:eastAsia="仿宋" w:cs="仿宋"/>
          <w:b/>
          <w:bCs/>
          <w:sz w:val="32"/>
          <w:szCs w:val="32"/>
        </w:rPr>
      </w:pPr>
      <w:bookmarkStart w:id="6" w:name="_Toc11451"/>
      <w:bookmarkStart w:id="7" w:name="_Toc22792"/>
      <w:bookmarkStart w:id="8" w:name="_Toc10743"/>
      <w:r>
        <w:rPr>
          <w:rFonts w:hint="eastAsia" w:ascii="仿宋" w:hAnsi="仿宋" w:eastAsia="仿宋" w:cs="仿宋"/>
          <w:b/>
          <w:bCs/>
          <w:sz w:val="32"/>
          <w:szCs w:val="32"/>
        </w:rPr>
        <w:t>二、评价结论和绩效分析</w:t>
      </w:r>
      <w:bookmarkEnd w:id="6"/>
      <w:bookmarkEnd w:id="7"/>
      <w:bookmarkEnd w:id="8"/>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本次评价在资料查阅、现场调研及访谈基础上，对赣州蓉江新区潭东镇镇政府2022年度部门整体支出绩效进行逐项打分、客观评价，等级设为四档：90（含）-100分为优、80（含）-90分为良、60（含）-80分为中等、60分以下为差</w:t>
      </w:r>
      <w:r>
        <w:rPr>
          <w:rFonts w:hint="eastAsia" w:ascii="仿宋" w:hAnsi="仿宋" w:eastAsia="仿宋" w:cs="仿宋"/>
          <w:sz w:val="32"/>
          <w:szCs w:val="32"/>
          <w:lang w:eastAsia="zh-CN"/>
        </w:rPr>
        <w:t>。</w:t>
      </w:r>
      <w:r>
        <w:rPr>
          <w:rFonts w:hint="eastAsia" w:ascii="仿宋" w:hAnsi="仿宋" w:eastAsia="仿宋" w:cs="仿宋"/>
          <w:sz w:val="32"/>
          <w:szCs w:val="32"/>
        </w:rPr>
        <w:t>最终评分结果：总得分为 84.5分，绩效评级为“良”。</w:t>
      </w:r>
    </w:p>
    <w:p>
      <w:pPr>
        <w:spacing w:line="520" w:lineRule="exact"/>
        <w:ind w:firstLine="420"/>
        <w:jc w:val="center"/>
        <w:rPr>
          <w:rFonts w:hint="eastAsia" w:ascii="仿宋" w:hAnsi="仿宋" w:eastAsia="仿宋" w:cs="仿宋"/>
          <w:b/>
          <w:bCs/>
          <w:sz w:val="32"/>
          <w:szCs w:val="32"/>
        </w:rPr>
      </w:pPr>
    </w:p>
    <w:p>
      <w:pPr>
        <w:spacing w:line="52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3"/>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371"/>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指标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A.投入指标</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B.过程指标</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C.产出指标</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D.效果指标</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权重</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25</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28</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分值</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11</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17</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30</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26.5</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得分率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73.33%</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68%</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93.75%</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94.64%</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84.5%</w:t>
            </w:r>
          </w:p>
        </w:tc>
      </w:tr>
    </w:tbl>
    <w:p>
      <w:pPr>
        <w:bidi w:val="0"/>
        <w:rPr>
          <w:rFonts w:hint="eastAsia"/>
        </w:rPr>
      </w:pPr>
      <w:bookmarkStart w:id="9" w:name="_Toc10616"/>
      <w:bookmarkStart w:id="10" w:name="_Toc17059"/>
      <w:bookmarkStart w:id="11" w:name="_Toc7356"/>
    </w:p>
    <w:p>
      <w:pPr>
        <w:bidi w:val="0"/>
        <w:jc w:val="left"/>
        <w:rPr>
          <w:rFonts w:hint="eastAsia" w:ascii="仿宋" w:hAnsi="仿宋" w:eastAsia="仿宋" w:cs="仿宋"/>
          <w:b/>
          <w:bCs/>
          <w:sz w:val="32"/>
          <w:szCs w:val="32"/>
        </w:rPr>
      </w:pPr>
      <w:r>
        <w:rPr>
          <w:rFonts w:hint="eastAsia" w:ascii="仿宋" w:hAnsi="仿宋" w:eastAsia="仿宋" w:cs="仿宋"/>
          <w:b/>
          <w:bCs/>
          <w:sz w:val="32"/>
          <w:szCs w:val="32"/>
        </w:rPr>
        <w:t>三、存在的问题和建议</w:t>
      </w:r>
      <w:bookmarkEnd w:id="9"/>
      <w:bookmarkEnd w:id="10"/>
      <w:bookmarkEnd w:id="11"/>
    </w:p>
    <w:p>
      <w:pPr>
        <w:bidi w:val="0"/>
        <w:ind w:firstLine="320" w:firstLineChars="100"/>
        <w:rPr>
          <w:rFonts w:hint="eastAsia" w:ascii="仿宋" w:hAnsi="仿宋" w:eastAsia="仿宋" w:cs="仿宋"/>
          <w:sz w:val="32"/>
          <w:szCs w:val="32"/>
        </w:rPr>
      </w:pPr>
      <w:bookmarkStart w:id="12" w:name="_Toc10845"/>
      <w:bookmarkStart w:id="13" w:name="_Toc175"/>
      <w:r>
        <w:rPr>
          <w:rFonts w:hint="eastAsia" w:ascii="仿宋" w:hAnsi="仿宋" w:eastAsia="仿宋" w:cs="仿宋"/>
          <w:sz w:val="32"/>
          <w:szCs w:val="32"/>
        </w:rPr>
        <w:t>（一）存在的问题</w:t>
      </w:r>
      <w:bookmarkEnd w:id="12"/>
      <w:bookmarkEnd w:id="13"/>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1、预算绩效管理工作方面存在不足。绩效目标管理工作有待改善，存在绩效指标设立明确性、量化、科学合理性不足的情形；绩效监控管理工作有待改善，存在预算执行过程中监督不够细致的情形；绩效评价管理工作有待改善，存在评价依据不足的情形。</w:t>
      </w:r>
    </w:p>
    <w:p>
      <w:pPr>
        <w:pStyle w:val="2"/>
        <w:spacing w:line="520" w:lineRule="exact"/>
        <w:ind w:firstLine="640"/>
        <w:rPr>
          <w:rFonts w:ascii="仿宋" w:hAnsi="仿宋" w:eastAsia="仿宋"/>
          <w:sz w:val="32"/>
          <w:szCs w:val="32"/>
        </w:rPr>
      </w:pPr>
      <w:r>
        <w:rPr>
          <w:rFonts w:hint="eastAsia" w:ascii="仿宋" w:hAnsi="仿宋" w:eastAsia="仿宋" w:cs="仿宋"/>
          <w:sz w:val="32"/>
          <w:szCs w:val="32"/>
        </w:rPr>
        <w:t>2、管理制度体系有待完善、制度执行有待加强。潭东镇镇政府提供了部门财务管理制度，制度涵盖了资金管理、收入管理、支出管理和资产管理等各个方面，制度的细化程度略显不足；在资产管理方面，未切实执行如定期资产盘点等保障资产安全性、提高资产使用效率的相关制度。</w:t>
      </w:r>
    </w:p>
    <w:p>
      <w:pPr>
        <w:bidi w:val="0"/>
        <w:ind w:firstLine="320" w:firstLineChars="100"/>
        <w:rPr>
          <w:rFonts w:hint="eastAsia" w:ascii="仿宋" w:hAnsi="仿宋" w:eastAsia="仿宋" w:cs="仿宋"/>
          <w:sz w:val="32"/>
          <w:szCs w:val="32"/>
        </w:rPr>
      </w:pPr>
      <w:bookmarkStart w:id="14" w:name="_Toc7339"/>
      <w:bookmarkStart w:id="15" w:name="_Toc13344"/>
      <w:r>
        <w:rPr>
          <w:rFonts w:hint="eastAsia" w:ascii="仿宋" w:hAnsi="仿宋" w:eastAsia="仿宋" w:cs="仿宋"/>
          <w:sz w:val="32"/>
          <w:szCs w:val="32"/>
        </w:rPr>
        <w:t>（二）改进措施和建议</w:t>
      </w:r>
      <w:bookmarkEnd w:id="14"/>
      <w:bookmarkEnd w:id="15"/>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1、逐步建立和完善预算绩效管理体系。在已建立预算绩效管理制度体系的基础上，根据部门职能和实际情况，逐步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widowControl/>
        <w:spacing w:line="520" w:lineRule="exact"/>
        <w:ind w:firstLine="640" w:firstLineChars="200"/>
        <w:jc w:val="left"/>
        <w:rPr>
          <w:b/>
          <w:sz w:val="30"/>
          <w:szCs w:val="30"/>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32"/>
          <w:szCs w:val="32"/>
        </w:rPr>
        <w:t>2、加强制度管理体系建设及制度的落实。在充分结合部门实际情况的基础上，进一步完善相关管理制度，如：建立健全专门的预算资金管理办法、预算绩效管理办法，完善组织机构、明确人员分工，做到责任到人；并抓好制度的落实，加强对相关制度执行的监督管理。</w:t>
      </w:r>
    </w:p>
    <w:p>
      <w:pPr>
        <w:pStyle w:val="2"/>
        <w:ind w:firstLine="0" w:firstLineChars="0"/>
      </w:pPr>
    </w:p>
    <w:sdt>
      <w:sdtPr>
        <w:rPr>
          <w:rFonts w:ascii="宋体" w:hAnsi="宋体" w:eastAsia="宋体"/>
        </w:rPr>
        <w:id w:val="147471102"/>
        <w:docPartObj>
          <w:docPartGallery w:val="Table of Contents"/>
          <w:docPartUnique/>
        </w:docPartObj>
      </w:sdtPr>
      <w:sdtEndPr>
        <w:rPr>
          <w:rFonts w:ascii="宋体" w:hAnsi="宋体" w:eastAsia="宋体"/>
        </w:rPr>
      </w:sdtEndPr>
      <w:sdtContent>
        <w:p>
          <w:pPr>
            <w:spacing w:line="400" w:lineRule="exact"/>
            <w:jc w:val="center"/>
            <w:rPr>
              <w:rFonts w:ascii="仿宋" w:hAnsi="仿宋" w:eastAsia="仿宋" w:cs="仿宋"/>
              <w:b/>
              <w:bCs/>
              <w:sz w:val="28"/>
              <w:szCs w:val="28"/>
            </w:rPr>
          </w:pPr>
          <w:r>
            <w:rPr>
              <w:rFonts w:hint="eastAsia" w:ascii="仿宋" w:hAnsi="仿宋" w:eastAsia="仿宋" w:cs="仿宋"/>
              <w:b/>
              <w:bCs/>
              <w:sz w:val="44"/>
              <w:szCs w:val="44"/>
            </w:rPr>
            <w:t>目  录</w:t>
          </w:r>
        </w:p>
        <w:p>
          <w:pPr>
            <w:pStyle w:val="9"/>
            <w:tabs>
              <w:tab w:val="right" w:leader="dot" w:pos="8306"/>
            </w:tabs>
            <w:spacing w:line="400" w:lineRule="exact"/>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TOC \o "1-3" \h \u </w:instrText>
          </w:r>
          <w:r>
            <w:rPr>
              <w:rFonts w:ascii="仿宋" w:hAnsi="仿宋" w:eastAsia="仿宋"/>
              <w:sz w:val="28"/>
              <w:szCs w:val="28"/>
            </w:rPr>
            <w:fldChar w:fldCharType="separate"/>
          </w:r>
        </w:p>
        <w:p>
          <w:pPr>
            <w:pStyle w:val="9"/>
            <w:tabs>
              <w:tab w:val="right" w:pos="4800"/>
              <w:tab w:val="right" w:leader="dot" w:pos="8306"/>
            </w:tabs>
            <w:spacing w:line="400" w:lineRule="exact"/>
            <w:rPr>
              <w:rFonts w:ascii="仿宋" w:hAnsi="仿宋" w:eastAsia="仿宋" w:cs="仿宋"/>
              <w:sz w:val="28"/>
              <w:szCs w:val="28"/>
            </w:rPr>
          </w:pPr>
          <w:r>
            <w:fldChar w:fldCharType="begin"/>
          </w:r>
          <w:r>
            <w:instrText xml:space="preserve"> HYPERLINK \l "_Toc4315" </w:instrText>
          </w:r>
          <w:r>
            <w:fldChar w:fldCharType="separate"/>
          </w:r>
          <w:r>
            <w:rPr>
              <w:rFonts w:hint="eastAsia"/>
              <w:lang w:val="en-US" w:eastAsia="zh-CN"/>
            </w:rPr>
            <w:t>一</w:t>
          </w:r>
          <w:r>
            <w:rPr>
              <w:rFonts w:hint="eastAsia" w:ascii="仿宋" w:hAnsi="仿宋" w:eastAsia="仿宋" w:cs="仿宋"/>
              <w:sz w:val="28"/>
              <w:szCs w:val="28"/>
            </w:rPr>
            <w:t>、部门及整体支出概况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_Toc4315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pos="8000"/>
              <w:tab w:val="right" w:leader="dot" w:pos="8306"/>
            </w:tabs>
            <w:spacing w:line="400" w:lineRule="exact"/>
            <w:ind w:left="221"/>
            <w:rPr>
              <w:rFonts w:ascii="仿宋" w:hAnsi="仿宋" w:eastAsia="仿宋" w:cs="仿宋"/>
              <w:sz w:val="28"/>
              <w:szCs w:val="28"/>
            </w:rPr>
          </w:pPr>
          <w:r>
            <w:fldChar w:fldCharType="begin"/>
          </w:r>
          <w:r>
            <w:instrText xml:space="preserve"> HYPERLINK \l "_Toc29758" </w:instrText>
          </w:r>
          <w:r>
            <w:fldChar w:fldCharType="separate"/>
          </w:r>
          <w:r>
            <w:rPr>
              <w:rFonts w:hint="eastAsia" w:ascii="仿宋" w:hAnsi="仿宋" w:eastAsia="仿宋" w:cs="仿宋"/>
              <w:sz w:val="28"/>
              <w:szCs w:val="28"/>
            </w:rPr>
            <w:t>1.1组织架构及人员、主要职责职能、资产等基本情况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_Toc29758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pos="5200"/>
              <w:tab w:val="right" w:leader="dot" w:pos="8306"/>
            </w:tabs>
            <w:spacing w:line="400" w:lineRule="exact"/>
            <w:rPr>
              <w:rFonts w:ascii="仿宋" w:hAnsi="仿宋" w:eastAsia="仿宋" w:cs="仿宋"/>
              <w:sz w:val="28"/>
              <w:szCs w:val="28"/>
            </w:rPr>
          </w:pPr>
          <w:r>
            <w:fldChar w:fldCharType="begin"/>
          </w:r>
          <w:r>
            <w:instrText xml:space="preserve"> HYPERLINK \l "_Toc27361" </w:instrText>
          </w:r>
          <w:r>
            <w:fldChar w:fldCharType="separate"/>
          </w:r>
          <w:r>
            <w:rPr>
              <w:rFonts w:hint="eastAsia" w:ascii="仿宋" w:hAnsi="仿宋" w:eastAsia="仿宋" w:cs="仿宋"/>
              <w:sz w:val="28"/>
              <w:szCs w:val="28"/>
            </w:rPr>
            <w:t>1.2 工作任务及绩效目标</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_Toc27361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"_Toc46" </w:instrText>
          </w:r>
          <w:r>
            <w:fldChar w:fldCharType="separate"/>
          </w:r>
          <w:r>
            <w:rPr>
              <w:rFonts w:hint="eastAsia" w:ascii="仿宋" w:hAnsi="仿宋" w:eastAsia="仿宋" w:cs="仿宋"/>
              <w:sz w:val="28"/>
              <w:szCs w:val="28"/>
            </w:rPr>
            <w:t>1.3预算及执行情况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_Toc46 \h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pos="4400"/>
              <w:tab w:val="right" w:leader="dot" w:pos="8306"/>
            </w:tabs>
            <w:spacing w:line="400" w:lineRule="exact"/>
            <w:rPr>
              <w:rFonts w:ascii="仿宋" w:hAnsi="仿宋" w:eastAsia="仿宋" w:cs="仿宋"/>
              <w:sz w:val="28"/>
              <w:szCs w:val="28"/>
            </w:rPr>
          </w:pPr>
          <w:r>
            <w:fldChar w:fldCharType="begin"/>
          </w:r>
          <w:r>
            <w:instrText xml:space="preserve"> HYPERLINK \l "_Toc18924" </w:instrText>
          </w:r>
          <w:r>
            <w:fldChar w:fldCharType="separate"/>
          </w:r>
          <w:r>
            <w:rPr>
              <w:rFonts w:hint="eastAsia" w:ascii="仿宋" w:hAnsi="仿宋" w:eastAsia="仿宋" w:cs="仿宋"/>
              <w:sz w:val="28"/>
              <w:szCs w:val="28"/>
            </w:rPr>
            <w:t>1.4 履职完成情况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_Toc18924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pos="4400"/>
              <w:tab w:val="right" w:leader="dot" w:pos="8306"/>
            </w:tabs>
            <w:spacing w:line="400" w:lineRule="exact"/>
            <w:rPr>
              <w:rFonts w:ascii="仿宋" w:hAnsi="仿宋" w:eastAsia="仿宋" w:cs="仿宋"/>
              <w:sz w:val="28"/>
              <w:szCs w:val="28"/>
            </w:rPr>
          </w:pPr>
          <w:r>
            <w:fldChar w:fldCharType="begin"/>
          </w:r>
          <w:r>
            <w:instrText xml:space="preserve"> HYPERLINK \l "_Toc7841" </w:instrText>
          </w:r>
          <w:r>
            <w:fldChar w:fldCharType="separate"/>
          </w:r>
          <w:r>
            <w:rPr>
              <w:rFonts w:hint="eastAsia"/>
              <w:lang w:val="en-US" w:eastAsia="zh-CN"/>
            </w:rPr>
            <w:t>二</w:t>
          </w:r>
          <w:r>
            <w:rPr>
              <w:rFonts w:hint="eastAsia" w:ascii="仿宋" w:hAnsi="仿宋" w:eastAsia="仿宋" w:cs="仿宋"/>
              <w:sz w:val="28"/>
              <w:szCs w:val="28"/>
            </w:rPr>
            <w:t>、绩效评价工作情况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_Toc7841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"_Toc9575" </w:instrText>
          </w:r>
          <w:r>
            <w:fldChar w:fldCharType="separate"/>
          </w:r>
          <w:r>
            <w:rPr>
              <w:rFonts w:hint="eastAsia" w:ascii="仿宋" w:hAnsi="仿宋" w:eastAsia="仿宋" w:cs="仿宋"/>
              <w:sz w:val="28"/>
              <w:szCs w:val="28"/>
            </w:rPr>
            <w:t>2.1绩效评价目的及评价依据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_Toc9575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"_Toc27548" </w:instrText>
          </w:r>
          <w:r>
            <w:fldChar w:fldCharType="separate"/>
          </w:r>
          <w:r>
            <w:rPr>
              <w:rFonts w:hint="eastAsia" w:ascii="仿宋" w:hAnsi="仿宋" w:eastAsia="仿宋" w:cs="仿宋"/>
              <w:sz w:val="28"/>
              <w:szCs w:val="28"/>
            </w:rPr>
            <w:t>2.2绩效评价工作方案制定过程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_Toc27548 \h </w:instrText>
          </w:r>
          <w:r>
            <w:rPr>
              <w:rFonts w:hint="eastAsia" w:ascii="仿宋" w:hAnsi="仿宋" w:eastAsia="仿宋" w:cs="仿宋"/>
              <w:sz w:val="28"/>
              <w:szCs w:val="28"/>
            </w:rPr>
            <w:fldChar w:fldCharType="separate"/>
          </w:r>
          <w:r>
            <w:rPr>
              <w:rFonts w:hint="eastAsia" w:ascii="仿宋" w:hAnsi="仿宋" w:eastAsia="仿宋" w:cs="仿宋"/>
              <w:sz w:val="28"/>
              <w:szCs w:val="28"/>
            </w:rPr>
            <w:t>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"_Toc1026" </w:instrText>
          </w:r>
          <w:r>
            <w:fldChar w:fldCharType="separate"/>
          </w:r>
          <w:r>
            <w:rPr>
              <w:rFonts w:hint="eastAsia" w:ascii="仿宋" w:hAnsi="仿宋" w:eastAsia="仿宋" w:cs="仿宋"/>
              <w:sz w:val="28"/>
              <w:szCs w:val="28"/>
            </w:rPr>
            <w:t>2.3绩效评价原则、评价方法等</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_Toc1026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"_Toc26369" </w:instrText>
          </w:r>
          <w:r>
            <w:fldChar w:fldCharType="separate"/>
          </w:r>
          <w:r>
            <w:rPr>
              <w:rFonts w:hint="eastAsia"/>
              <w:lang w:val="en-US" w:eastAsia="zh-CN"/>
            </w:rPr>
            <w:t>三</w:t>
          </w:r>
          <w:r>
            <w:rPr>
              <w:rFonts w:hint="eastAsia" w:ascii="仿宋" w:hAnsi="仿宋" w:eastAsia="仿宋" w:cs="仿宋"/>
              <w:sz w:val="28"/>
              <w:szCs w:val="28"/>
            </w:rPr>
            <w:t>、具体绩效分析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_Toc26369 \h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"_Toc26962" </w:instrText>
          </w:r>
          <w:r>
            <w:fldChar w:fldCharType="separate"/>
          </w:r>
          <w:r>
            <w:rPr>
              <w:rFonts w:hint="eastAsia" w:ascii="仿宋" w:hAnsi="仿宋" w:eastAsia="仿宋" w:cs="仿宋"/>
              <w:sz w:val="28"/>
              <w:szCs w:val="28"/>
            </w:rPr>
            <w:t>3.1投入指标类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_Toc26962 \h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"_Toc19807" </w:instrText>
          </w:r>
          <w:r>
            <w:fldChar w:fldCharType="separate"/>
          </w:r>
          <w:r>
            <w:rPr>
              <w:rFonts w:hint="eastAsia" w:ascii="仿宋" w:hAnsi="仿宋" w:eastAsia="仿宋" w:cs="仿宋"/>
              <w:sz w:val="28"/>
              <w:szCs w:val="28"/>
            </w:rPr>
            <w:t>3.2过程指标类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_Toc19807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"_Toc29993" </w:instrText>
          </w:r>
          <w:r>
            <w:fldChar w:fldCharType="separate"/>
          </w:r>
          <w:r>
            <w:rPr>
              <w:rFonts w:hint="eastAsia" w:ascii="仿宋" w:hAnsi="仿宋" w:eastAsia="仿宋" w:cs="仿宋"/>
              <w:sz w:val="28"/>
              <w:szCs w:val="28"/>
            </w:rPr>
            <w:t>3.3产出指标类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_Toc29993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ind w:left="221"/>
            <w:rPr>
              <w:rFonts w:ascii="仿宋" w:hAnsi="仿宋" w:eastAsia="仿宋" w:cs="仿宋"/>
              <w:sz w:val="28"/>
              <w:szCs w:val="28"/>
            </w:rPr>
          </w:pPr>
          <w:r>
            <w:fldChar w:fldCharType="begin"/>
          </w:r>
          <w:r>
            <w:instrText xml:space="preserve"> HYPERLINK \l "_Toc815" </w:instrText>
          </w:r>
          <w:r>
            <w:fldChar w:fldCharType="separate"/>
          </w:r>
          <w:r>
            <w:rPr>
              <w:rFonts w:hint="eastAsia" w:ascii="仿宋" w:hAnsi="仿宋" w:eastAsia="仿宋" w:cs="仿宋"/>
              <w:sz w:val="28"/>
              <w:szCs w:val="28"/>
            </w:rPr>
            <w:t>3.4效果指标类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_Toc815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"_Toc1375" </w:instrText>
          </w:r>
          <w:r>
            <w:fldChar w:fldCharType="separate"/>
          </w:r>
          <w:r>
            <w:rPr>
              <w:rFonts w:hint="eastAsia"/>
              <w:lang w:val="en-US" w:eastAsia="zh-CN"/>
            </w:rPr>
            <w:t>四</w:t>
          </w:r>
          <w:r>
            <w:rPr>
              <w:rFonts w:hint="eastAsia" w:ascii="仿宋" w:hAnsi="仿宋" w:eastAsia="仿宋" w:cs="仿宋"/>
              <w:sz w:val="28"/>
              <w:szCs w:val="28"/>
            </w:rPr>
            <w:t>、 绩效评价结论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_Toc1375 \h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"_Toc1207" </w:instrText>
          </w:r>
          <w:r>
            <w:fldChar w:fldCharType="separate"/>
          </w:r>
          <w:r>
            <w:rPr>
              <w:rFonts w:hint="eastAsia"/>
              <w:lang w:val="en-US" w:eastAsia="zh-CN"/>
            </w:rPr>
            <w:t>五</w:t>
          </w:r>
          <w:r>
            <w:rPr>
              <w:rFonts w:hint="eastAsia" w:ascii="仿宋" w:hAnsi="仿宋" w:eastAsia="仿宋" w:cs="仿宋"/>
              <w:sz w:val="28"/>
              <w:szCs w:val="28"/>
            </w:rPr>
            <w:t>、存在的问题和建议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_Toc1207 \h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"_Toc5351" </w:instrText>
          </w:r>
          <w:r>
            <w:fldChar w:fldCharType="separate"/>
          </w:r>
          <w:r>
            <w:rPr>
              <w:rFonts w:hint="eastAsia" w:ascii="仿宋" w:hAnsi="仿宋" w:eastAsia="仿宋" w:cs="仿宋"/>
              <w:sz w:val="28"/>
              <w:szCs w:val="28"/>
            </w:rPr>
            <w:t>5.1存在的问题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_Toc5351 \h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ind w:left="221"/>
            <w:rPr>
              <w:rFonts w:ascii="仿宋" w:hAnsi="仿宋" w:eastAsia="仿宋" w:cs="仿宋"/>
              <w:sz w:val="28"/>
              <w:szCs w:val="28"/>
            </w:rPr>
          </w:pPr>
          <w:r>
            <w:fldChar w:fldCharType="begin"/>
          </w:r>
          <w:r>
            <w:instrText xml:space="preserve"> HYPERLINK \l "_Toc27799" </w:instrText>
          </w:r>
          <w:r>
            <w:fldChar w:fldCharType="separate"/>
          </w:r>
          <w:r>
            <w:rPr>
              <w:rFonts w:hint="eastAsia" w:ascii="仿宋" w:hAnsi="仿宋" w:eastAsia="仿宋" w:cs="仿宋"/>
              <w:sz w:val="28"/>
              <w:szCs w:val="28"/>
            </w:rPr>
            <w:t>5.2改进措施和建议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_Toc27799 \h </w:instrText>
          </w:r>
          <w:r>
            <w:rPr>
              <w:rFonts w:hint="eastAsia" w:ascii="仿宋" w:hAnsi="仿宋" w:eastAsia="仿宋" w:cs="仿宋"/>
              <w:sz w:val="28"/>
              <w:szCs w:val="28"/>
            </w:rPr>
            <w:fldChar w:fldCharType="separate"/>
          </w:r>
          <w:r>
            <w:rPr>
              <w:rFonts w:hint="eastAsia" w:ascii="仿宋" w:hAnsi="仿宋" w:eastAsia="仿宋" w:cs="仿宋"/>
              <w:sz w:val="28"/>
              <w:szCs w:val="28"/>
            </w:rPr>
            <w:t>24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"_Toc9940" </w:instrText>
          </w:r>
          <w:r>
            <w:fldChar w:fldCharType="separate"/>
          </w:r>
          <w:r>
            <w:rPr>
              <w:rFonts w:hint="eastAsia"/>
              <w:lang w:val="en-US" w:eastAsia="zh-CN"/>
            </w:rPr>
            <w:t>六</w:t>
          </w:r>
          <w:r>
            <w:rPr>
              <w:rFonts w:hint="eastAsia" w:ascii="仿宋" w:hAnsi="仿宋" w:eastAsia="仿宋" w:cs="仿宋"/>
              <w:sz w:val="28"/>
              <w:szCs w:val="28"/>
            </w:rPr>
            <w:t>、其他事项说明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_Toc9940 \h </w:instrText>
          </w:r>
          <w:r>
            <w:rPr>
              <w:rFonts w:hint="eastAsia" w:ascii="仿宋" w:hAnsi="仿宋" w:eastAsia="仿宋" w:cs="仿宋"/>
              <w:sz w:val="28"/>
              <w:szCs w:val="28"/>
            </w:rPr>
            <w:fldChar w:fldCharType="separate"/>
          </w:r>
          <w:r>
            <w:rPr>
              <w:rFonts w:hint="eastAsia" w:ascii="仿宋" w:hAnsi="仿宋" w:eastAsia="仿宋" w:cs="仿宋"/>
              <w:sz w:val="28"/>
              <w:szCs w:val="28"/>
            </w:rPr>
            <w:t>25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rPr>
              <w:rFonts w:hint="eastAsia" w:ascii="仿宋" w:hAnsi="仿宋" w:eastAsia="仿宋" w:cs="仿宋"/>
              <w:sz w:val="28"/>
              <w:szCs w:val="28"/>
              <w:lang w:val="en-US" w:eastAsia="zh-CN"/>
            </w:rPr>
            <w:t>七</w:t>
          </w:r>
          <w:r>
            <w:rPr>
              <w:rFonts w:hint="eastAsia" w:ascii="仿宋" w:hAnsi="仿宋" w:eastAsia="仿宋" w:cs="仿宋"/>
              <w:sz w:val="28"/>
              <w:szCs w:val="28"/>
            </w:rPr>
            <w:t>、附件1：2022年度赣州蓉江新区潭东镇人民政府整体支出绩效评价指标体系及评分表</w:t>
          </w:r>
        </w:p>
        <w:p>
          <w:pPr>
            <w:pStyle w:val="9"/>
            <w:tabs>
              <w:tab w:val="right" w:leader="dot" w:pos="8306"/>
            </w:tabs>
            <w:spacing w:line="400" w:lineRule="exact"/>
            <w:ind w:firstLine="560" w:firstLineChars="200"/>
            <w:rPr>
              <w:rFonts w:ascii="仿宋" w:hAnsi="仿宋" w:eastAsia="仿宋"/>
              <w:sz w:val="28"/>
              <w:szCs w:val="28"/>
            </w:rPr>
          </w:pPr>
          <w:r>
            <w:rPr>
              <w:rFonts w:hint="eastAsia" w:ascii="仿宋" w:hAnsi="仿宋" w:eastAsia="仿宋" w:cs="仿宋"/>
              <w:sz w:val="28"/>
              <w:szCs w:val="28"/>
            </w:rPr>
            <w:t>附件2：2022年度赣州蓉江新区潭东镇人民政府整体支出绩效评价满意度调查问卷（样卷）</w:t>
          </w:r>
        </w:p>
        <w:p>
          <w:pPr>
            <w:spacing w:line="400" w:lineRule="exact"/>
            <w:sectPr>
              <w:pgSz w:w="11906" w:h="16838"/>
              <w:pgMar w:top="1440" w:right="1800" w:bottom="1440" w:left="1800" w:header="851" w:footer="992" w:gutter="0"/>
              <w:cols w:space="425" w:num="1"/>
              <w:docGrid w:type="lines" w:linePitch="312" w:charSpace="0"/>
            </w:sectPr>
          </w:pPr>
          <w:r>
            <w:rPr>
              <w:rFonts w:ascii="仿宋" w:hAnsi="仿宋" w:eastAsia="仿宋"/>
              <w:sz w:val="28"/>
              <w:szCs w:val="28"/>
            </w:rPr>
            <w:fldChar w:fldCharType="end"/>
          </w:r>
        </w:p>
      </w:sdtContent>
    </w:sdt>
    <w:p>
      <w:pPr>
        <w:rPr>
          <w:rFonts w:ascii="仿宋" w:hAnsi="仿宋" w:eastAsia="仿宋"/>
          <w:sz w:val="28"/>
          <w:szCs w:val="28"/>
        </w:rPr>
        <w:sectPr>
          <w:type w:val="continuous"/>
          <w:pgSz w:w="11906" w:h="16838"/>
          <w:pgMar w:top="1440" w:right="1800" w:bottom="1440" w:left="1800" w:header="851" w:footer="992" w:gutter="0"/>
          <w:cols w:space="425" w:num="1"/>
          <w:docGrid w:type="lines" w:linePitch="312" w:charSpace="0"/>
        </w:sectPr>
      </w:pPr>
    </w:p>
    <w:p>
      <w:pPr>
        <w:bidi w:val="0"/>
        <w:jc w:val="center"/>
        <w:rPr>
          <w:rFonts w:hint="eastAsia" w:ascii="宋体" w:hAnsi="宋体" w:eastAsia="宋体" w:cs="宋体"/>
          <w:b/>
          <w:bCs/>
          <w:sz w:val="44"/>
          <w:szCs w:val="44"/>
        </w:rPr>
      </w:pPr>
      <w:bookmarkStart w:id="16" w:name="_Toc4504"/>
      <w:bookmarkStart w:id="17" w:name="_Toc20851"/>
      <w:bookmarkStart w:id="18" w:name="_Toc12867"/>
      <w:r>
        <w:rPr>
          <w:rFonts w:hint="eastAsia" w:ascii="宋体" w:hAnsi="宋体" w:eastAsia="宋体" w:cs="宋体"/>
          <w:b/>
          <w:bCs/>
          <w:sz w:val="44"/>
          <w:szCs w:val="44"/>
        </w:rPr>
        <w:t>赣州蓉江新区潭东镇人民政府</w:t>
      </w:r>
    </w:p>
    <w:p>
      <w:pPr>
        <w:bidi w:val="0"/>
        <w:jc w:val="center"/>
        <w:rPr>
          <w:rFonts w:hint="eastAsia" w:ascii="宋体" w:hAnsi="宋体" w:eastAsia="宋体" w:cs="宋体"/>
          <w:b/>
          <w:bCs/>
          <w:sz w:val="44"/>
          <w:szCs w:val="44"/>
        </w:rPr>
      </w:pPr>
      <w:r>
        <w:rPr>
          <w:rFonts w:hint="eastAsia" w:ascii="宋体" w:hAnsi="宋体" w:eastAsia="宋体" w:cs="宋体"/>
          <w:b/>
          <w:bCs/>
          <w:sz w:val="44"/>
          <w:szCs w:val="44"/>
        </w:rPr>
        <w:t>2022年度部门整体支出绩效评价报告</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asciiTheme="majorEastAsia" w:hAnsiTheme="majorEastAsia" w:eastAsiaTheme="majorEastAsia"/>
          <w:sz w:val="28"/>
          <w:szCs w:val="28"/>
          <w:u w:val="single"/>
        </w:rPr>
      </w:pPr>
      <w:r>
        <w:rPr>
          <w:rFonts w:hint="eastAsia" w:cs="仿宋" w:asciiTheme="majorEastAsia" w:hAnsiTheme="majorEastAsia" w:eastAsiaTheme="majorEastAsia"/>
          <w:sz w:val="28"/>
          <w:szCs w:val="28"/>
          <w:u w:val="none"/>
        </w:rPr>
        <w:t>国众联咨报字﹝</w:t>
      </w:r>
      <w:r>
        <w:rPr>
          <w:rFonts w:hint="eastAsia" w:cs="仿宋" w:asciiTheme="majorEastAsia" w:hAnsiTheme="majorEastAsia" w:eastAsiaTheme="majorEastAsia"/>
          <w:sz w:val="28"/>
          <w:szCs w:val="28"/>
          <w:u w:val="none"/>
          <w:lang w:val="en-US" w:eastAsia="zh-CN"/>
        </w:rPr>
        <w:t>2024</w:t>
      </w:r>
      <w:r>
        <w:rPr>
          <w:rFonts w:hint="eastAsia" w:cs="仿宋" w:asciiTheme="majorEastAsia" w:hAnsiTheme="majorEastAsia" w:eastAsiaTheme="majorEastAsia"/>
          <w:sz w:val="28"/>
          <w:szCs w:val="28"/>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0021</w:t>
      </w:r>
      <w:r>
        <w:rPr>
          <w:rFonts w:hint="eastAsia" w:cs="仿宋" w:asciiTheme="majorEastAsia" w:hAnsiTheme="majorEastAsia" w:eastAsiaTheme="majorEastAsia"/>
          <w:sz w:val="28"/>
          <w:szCs w:val="28"/>
          <w:u w:val="none"/>
        </w:rPr>
        <w:t>号</w:t>
      </w:r>
    </w:p>
    <w:p>
      <w:pPr>
        <w:spacing w:line="540" w:lineRule="exact"/>
        <w:rPr>
          <w:rFonts w:ascii="仿宋" w:hAnsi="仿宋" w:eastAsia="仿宋"/>
          <w:sz w:val="32"/>
          <w:szCs w:val="32"/>
        </w:rPr>
      </w:pPr>
      <w:r>
        <w:rPr>
          <w:rFonts w:hint="eastAsia" w:ascii="仿宋" w:hAnsi="仿宋" w:eastAsia="仿宋"/>
          <w:sz w:val="32"/>
          <w:szCs w:val="32"/>
        </w:rPr>
        <w:t>赣州蓉江新区财政局：</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潭东镇人民政府2022年度部门整体支出的绩效评价工作。本次绩效评价工作严格依照相关法律法规的规定，遵循“独立、客观、公正、科学”的原则进行。</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国众联资产评估土地房地产估价有限公司接受委托任务后于2023年10月开始，抽调精干人员力量组成绩效评价组，精心制定绩效评价方案，通过访谈、查阅文件文献、问卷调查、现场调研等方式，充分了解和掌握了评价对象的相关情况后，按照绩效评价指标体系，对部门整体支出取得的成效与经验、存在的问题进行归纳总结，并提出相关建议，得出评价结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绩效评价组以绩效评价指标体系要求为基础进行资料收集，收集了部门整体支出实施过程中的各项资料，对部门整体支出单位相关负责人进行访谈、开展部门服务对象的满意度调查工作等，在此基础上形成《赣州蓉江新区潭东镇人民政府2022年度部门整体支出绩效评价报告》。</w:t>
      </w:r>
    </w:p>
    <w:p>
      <w:pPr>
        <w:spacing w:line="520" w:lineRule="exact"/>
        <w:outlineLvl w:val="0"/>
        <w:rPr>
          <w:rFonts w:ascii="仿宋" w:hAnsi="仿宋" w:eastAsia="仿宋" w:cs="仿宋"/>
          <w:b/>
          <w:sz w:val="32"/>
          <w:szCs w:val="32"/>
        </w:rPr>
      </w:pPr>
      <w:bookmarkStart w:id="19" w:name="_Toc4315"/>
      <w:r>
        <w:rPr>
          <w:rFonts w:ascii="仿宋" w:hAnsi="仿宋" w:eastAsia="仿宋"/>
          <w:sz w:val="32"/>
          <w:szCs w:val="32"/>
        </w:rPr>
        <w:fldChar w:fldCharType="begin"/>
      </w:r>
      <w:r>
        <w:rPr>
          <w:rFonts w:ascii="仿宋" w:hAnsi="仿宋" w:eastAsia="仿宋"/>
          <w:sz w:val="32"/>
          <w:szCs w:val="32"/>
        </w:rPr>
        <w:instrText xml:space="preserve"> HYPERLINK \l "_Toc123122489"</w:instrText>
      </w:r>
      <w:r>
        <w:rPr>
          <w:rFonts w:ascii="仿宋" w:hAnsi="仿宋" w:eastAsia="仿宋"/>
          <w:sz w:val="32"/>
          <w:szCs w:val="32"/>
        </w:rPr>
        <w:fldChar w:fldCharType="separate"/>
      </w:r>
      <w:r>
        <w:rPr>
          <w:rFonts w:hint="eastAsia" w:ascii="仿宋" w:hAnsi="仿宋" w:eastAsia="仿宋"/>
          <w:sz w:val="32"/>
          <w:szCs w:val="32"/>
          <w:lang w:val="en-US" w:eastAsia="zh-CN"/>
        </w:rPr>
        <w:t>一</w:t>
      </w:r>
      <w:r>
        <w:rPr>
          <w:rFonts w:ascii="仿宋" w:hAnsi="仿宋" w:eastAsia="仿宋" w:cs="仿宋"/>
          <w:b/>
          <w:sz w:val="32"/>
          <w:szCs w:val="32"/>
        </w:rPr>
        <w:t>、部门</w:t>
      </w:r>
      <w:r>
        <w:rPr>
          <w:rFonts w:hint="eastAsia" w:ascii="仿宋" w:hAnsi="仿宋" w:eastAsia="仿宋" w:cs="仿宋"/>
          <w:b/>
          <w:sz w:val="32"/>
          <w:szCs w:val="32"/>
        </w:rPr>
        <w:t>及整体支出</w:t>
      </w:r>
      <w:r>
        <w:rPr>
          <w:rFonts w:ascii="仿宋" w:hAnsi="仿宋" w:eastAsia="仿宋" w:cs="仿宋"/>
          <w:b/>
          <w:sz w:val="32"/>
          <w:szCs w:val="32"/>
        </w:rPr>
        <w:t>概况</w:t>
      </w:r>
      <w:r>
        <w:rPr>
          <w:rFonts w:ascii="仿宋" w:hAnsi="仿宋" w:eastAsia="仿宋" w:cs="仿宋"/>
          <w:b/>
          <w:sz w:val="32"/>
          <w:szCs w:val="32"/>
        </w:rPr>
        <w:tab/>
      </w:r>
      <w:r>
        <w:rPr>
          <w:rFonts w:ascii="仿宋" w:hAnsi="仿宋" w:eastAsia="仿宋" w:cs="仿宋"/>
          <w:b/>
          <w:sz w:val="32"/>
          <w:szCs w:val="32"/>
        </w:rPr>
        <w:fldChar w:fldCharType="end"/>
      </w:r>
      <w:bookmarkEnd w:id="19"/>
    </w:p>
    <w:p>
      <w:pPr>
        <w:spacing w:line="520" w:lineRule="exact"/>
        <w:outlineLvl w:val="1"/>
        <w:rPr>
          <w:rFonts w:ascii="仿宋" w:hAnsi="仿宋" w:eastAsia="仿宋" w:cs="仿宋"/>
          <w:b/>
          <w:sz w:val="32"/>
          <w:szCs w:val="32"/>
        </w:rPr>
      </w:pPr>
      <w:bookmarkStart w:id="20" w:name="_Toc29758"/>
      <w:r>
        <w:rPr>
          <w:rFonts w:hint="eastAsia" w:ascii="仿宋" w:hAnsi="仿宋" w:eastAsia="仿宋" w:cs="仿宋"/>
          <w:b/>
          <w:sz w:val="32"/>
          <w:szCs w:val="32"/>
        </w:rPr>
        <w:t>1.1</w:t>
      </w:r>
      <w:r>
        <w:fldChar w:fldCharType="begin"/>
      </w:r>
      <w:r>
        <w:instrText xml:space="preserve"> HYPERLINK \l "_Toc123122490" </w:instrText>
      </w:r>
      <w:r>
        <w:fldChar w:fldCharType="separate"/>
      </w:r>
      <w:r>
        <w:rPr>
          <w:rFonts w:ascii="仿宋" w:hAnsi="仿宋" w:eastAsia="仿宋" w:cs="仿宋"/>
          <w:b/>
          <w:sz w:val="32"/>
          <w:szCs w:val="32"/>
        </w:rPr>
        <w:t>组织架构及人员、</w:t>
      </w:r>
      <w:r>
        <w:rPr>
          <w:rFonts w:hint="eastAsia" w:ascii="仿宋" w:hAnsi="仿宋" w:eastAsia="仿宋" w:cs="仿宋"/>
          <w:b/>
          <w:sz w:val="32"/>
          <w:szCs w:val="32"/>
        </w:rPr>
        <w:t>主要</w:t>
      </w:r>
      <w:r>
        <w:rPr>
          <w:rFonts w:ascii="仿宋" w:hAnsi="仿宋" w:eastAsia="仿宋" w:cs="仿宋"/>
          <w:b/>
          <w:sz w:val="32"/>
          <w:szCs w:val="32"/>
        </w:rPr>
        <w:t>职责职能、资产等基本情况</w:t>
      </w:r>
      <w:r>
        <w:rPr>
          <w:rFonts w:ascii="仿宋" w:hAnsi="仿宋" w:eastAsia="仿宋" w:cs="仿宋"/>
          <w:b/>
          <w:sz w:val="32"/>
          <w:szCs w:val="32"/>
        </w:rPr>
        <w:tab/>
      </w:r>
      <w:r>
        <w:rPr>
          <w:rFonts w:ascii="仿宋" w:hAnsi="仿宋" w:eastAsia="仿宋" w:cs="仿宋"/>
          <w:b/>
          <w:sz w:val="32"/>
          <w:szCs w:val="32"/>
        </w:rPr>
        <w:fldChar w:fldCharType="end"/>
      </w:r>
      <w:bookmarkEnd w:id="20"/>
    </w:p>
    <w:p>
      <w:pPr>
        <w:spacing w:line="520" w:lineRule="exact"/>
        <w:outlineLvl w:val="2"/>
        <w:rPr>
          <w:rFonts w:ascii="仿宋" w:hAnsi="仿宋" w:eastAsia="仿宋"/>
          <w:b/>
          <w:sz w:val="32"/>
          <w:szCs w:val="32"/>
        </w:rPr>
      </w:pPr>
      <w:bookmarkStart w:id="21" w:name="_Toc11754"/>
      <w:bookmarkStart w:id="22" w:name="_Toc28164"/>
      <w:r>
        <w:rPr>
          <w:rFonts w:hint="eastAsia" w:ascii="仿宋" w:hAnsi="仿宋" w:eastAsia="仿宋" w:cs="仿宋"/>
          <w:b/>
          <w:sz w:val="32"/>
          <w:szCs w:val="32"/>
        </w:rPr>
        <w:t>1.1.1</w:t>
      </w:r>
      <w:r>
        <w:fldChar w:fldCharType="begin"/>
      </w:r>
      <w:r>
        <w:instrText xml:space="preserve"> HYPERLINK \l "_Toc123122491" </w:instrText>
      </w:r>
      <w:r>
        <w:fldChar w:fldCharType="separate"/>
      </w:r>
      <w:r>
        <w:rPr>
          <w:rFonts w:ascii="仿宋" w:hAnsi="仿宋" w:eastAsia="仿宋" w:cs="仿宋"/>
          <w:b/>
          <w:sz w:val="32"/>
          <w:szCs w:val="32"/>
        </w:rPr>
        <w:t>机构情况及人员情况</w:t>
      </w:r>
      <w:r>
        <w:rPr>
          <w:rFonts w:ascii="仿宋" w:hAnsi="仿宋" w:eastAsia="仿宋" w:cs="仿宋"/>
          <w:b/>
          <w:sz w:val="32"/>
          <w:szCs w:val="32"/>
        </w:rPr>
        <w:tab/>
      </w:r>
      <w:r>
        <w:rPr>
          <w:rFonts w:ascii="仿宋" w:hAnsi="仿宋" w:eastAsia="仿宋" w:cs="仿宋"/>
          <w:b/>
          <w:sz w:val="32"/>
          <w:szCs w:val="32"/>
        </w:rPr>
        <w:fldChar w:fldCharType="end"/>
      </w:r>
      <w:bookmarkEnd w:id="21"/>
      <w:bookmarkEnd w:id="22"/>
    </w:p>
    <w:p>
      <w:pPr>
        <w:pStyle w:val="11"/>
        <w:spacing w:line="520" w:lineRule="exact"/>
        <w:ind w:firstLine="539"/>
        <w:textAlignment w:val="baseline"/>
        <w:rPr>
          <w:rFonts w:ascii="仿宋" w:hAnsi="仿宋" w:eastAsia="仿宋" w:cstheme="minorBidi"/>
          <w:kern w:val="2"/>
          <w:sz w:val="32"/>
          <w:szCs w:val="32"/>
        </w:rPr>
      </w:pPr>
      <w:r>
        <w:rPr>
          <w:rFonts w:hint="eastAsia" w:ascii="仿宋" w:hAnsi="仿宋" w:eastAsia="仿宋" w:cstheme="minorBidi"/>
          <w:kern w:val="2"/>
          <w:sz w:val="32"/>
          <w:szCs w:val="32"/>
        </w:rPr>
        <w:t>赣州蓉江新区潭东镇人民政府（以下简称“潭东镇镇政府”）是基层行政机关，内设科室7个。经机构管理部门核定编制人数为68人，其中：行政编制26人，事业编制42人。年末实有人数87人，其中：行政编制25人，事业编制41人，退休人员21人。</w:t>
      </w:r>
    </w:p>
    <w:p>
      <w:pPr>
        <w:spacing w:line="520" w:lineRule="exact"/>
        <w:outlineLvl w:val="2"/>
        <w:rPr>
          <w:rFonts w:ascii="仿宋" w:hAnsi="仿宋" w:eastAsia="仿宋"/>
          <w:sz w:val="32"/>
          <w:szCs w:val="32"/>
        </w:rPr>
      </w:pPr>
      <w:bookmarkStart w:id="23" w:name="_Toc32406"/>
      <w:bookmarkStart w:id="24" w:name="_Toc18570"/>
      <w:r>
        <w:rPr>
          <w:rFonts w:ascii="仿宋" w:hAnsi="仿宋" w:eastAsia="仿宋"/>
          <w:sz w:val="32"/>
          <w:szCs w:val="32"/>
        </w:rPr>
        <w:fldChar w:fldCharType="begin"/>
      </w:r>
      <w:r>
        <w:rPr>
          <w:rFonts w:ascii="仿宋" w:hAnsi="仿宋" w:eastAsia="仿宋"/>
          <w:sz w:val="32"/>
          <w:szCs w:val="32"/>
        </w:rPr>
        <w:instrText xml:space="preserve"> HYPERLINK \l "_Toc123122492"</w:instrText>
      </w:r>
      <w:r>
        <w:rPr>
          <w:rFonts w:ascii="仿宋" w:hAnsi="仿宋" w:eastAsia="仿宋"/>
          <w:sz w:val="32"/>
          <w:szCs w:val="32"/>
        </w:rPr>
        <w:fldChar w:fldCharType="separate"/>
      </w:r>
      <w:r>
        <w:rPr>
          <w:rFonts w:hint="eastAsia" w:ascii="仿宋" w:hAnsi="仿宋" w:eastAsia="仿宋" w:cs="仿宋"/>
          <w:b/>
          <w:sz w:val="32"/>
          <w:szCs w:val="32"/>
        </w:rPr>
        <w:t>1.1.2主要</w:t>
      </w:r>
      <w:r>
        <w:rPr>
          <w:rFonts w:ascii="仿宋" w:hAnsi="仿宋" w:eastAsia="仿宋" w:cs="仿宋"/>
          <w:b/>
          <w:sz w:val="32"/>
          <w:szCs w:val="32"/>
        </w:rPr>
        <w:t>职责职能</w:t>
      </w:r>
      <w:r>
        <w:rPr>
          <w:rFonts w:ascii="仿宋" w:hAnsi="仿宋" w:eastAsia="仿宋" w:cs="仿宋"/>
          <w:b/>
          <w:sz w:val="32"/>
          <w:szCs w:val="32"/>
        </w:rPr>
        <w:tab/>
      </w:r>
      <w:r>
        <w:rPr>
          <w:rFonts w:ascii="仿宋" w:hAnsi="仿宋" w:eastAsia="仿宋" w:cs="仿宋"/>
          <w:b/>
          <w:sz w:val="32"/>
          <w:szCs w:val="32"/>
        </w:rPr>
        <w:fldChar w:fldCharType="end"/>
      </w:r>
      <w:bookmarkEnd w:id="23"/>
      <w:bookmarkEnd w:id="24"/>
    </w:p>
    <w:p>
      <w:pPr>
        <w:numPr>
          <w:ilvl w:val="0"/>
          <w:numId w:val="1"/>
        </w:numPr>
        <w:spacing w:line="520" w:lineRule="exact"/>
        <w:ind w:firstLine="640" w:firstLineChars="200"/>
        <w:rPr>
          <w:rFonts w:ascii="仿宋" w:hAnsi="仿宋" w:eastAsia="仿宋"/>
          <w:sz w:val="32"/>
          <w:szCs w:val="32"/>
        </w:rPr>
      </w:pPr>
      <w:r>
        <w:rPr>
          <w:rFonts w:hint="eastAsia" w:ascii="仿宋" w:hAnsi="仿宋" w:eastAsia="仿宋"/>
          <w:sz w:val="32"/>
          <w:szCs w:val="32"/>
        </w:rPr>
        <w:t>加强党的建设。落实基层党建工作责任制，严格抓好基层党组织建设各项制度，统筹抓好基层党建工作；推进全面从严治党，强化“两个责任”，落实农村基层党建工作要求，全面加强农村基层宣传思想文化工作，健全完善党建引领基层体系，强化基层治理平台建设，进一步增强党在农村的政治领导力、思想引领力、群众组织力、社会号召力。</w:t>
      </w:r>
    </w:p>
    <w:p>
      <w:pPr>
        <w:numPr>
          <w:ilvl w:val="0"/>
          <w:numId w:val="1"/>
        </w:num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实施乡村振兴战略。贯彻落实中央、省、市、区关于实施乡村振兴战略的决策部署，提升农业发展质量，加快现代农业强镇步伐；推进乡村绿色发展，打造生态宜居美丽乡村；加强农村基础设施建设，改善农村居住环境;深化农村精神文明建设，树立健康文明新风尚；构建乡村治理体系，提升农村社会治理水平；坚决打赢脱贫攻坚战，增强贫困群众获得感；深入推进农业农村改革，增强乡村振兴内生动力。 </w:t>
      </w:r>
    </w:p>
    <w:p>
      <w:pPr>
        <w:numPr>
          <w:ilvl w:val="0"/>
          <w:numId w:val="1"/>
        </w:numPr>
        <w:spacing w:line="520" w:lineRule="exact"/>
        <w:ind w:firstLine="640" w:firstLineChars="200"/>
        <w:rPr>
          <w:rFonts w:ascii="仿宋" w:hAnsi="仿宋" w:eastAsia="仿宋"/>
          <w:sz w:val="32"/>
          <w:szCs w:val="32"/>
        </w:rPr>
      </w:pPr>
      <w:r>
        <w:rPr>
          <w:rFonts w:hint="eastAsia" w:ascii="仿宋" w:hAnsi="仿宋" w:eastAsia="仿宋"/>
          <w:sz w:val="32"/>
          <w:szCs w:val="32"/>
        </w:rPr>
        <w:t>加强公共管理。实施综合管理，落实辖区内集镇管理、人口管理、社会管理、经济发展、综合执法、公共服务、生态环境保护等工作，承担组织领导、推进实施、综合协调等职责。</w:t>
      </w:r>
    </w:p>
    <w:p>
      <w:pPr>
        <w:numPr>
          <w:ilvl w:val="0"/>
          <w:numId w:val="1"/>
        </w:num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加强公共安全。负责辖区公共安全及安全生产监管，构建公共安全防控体系，建立应对突发紧急事件的处理预案，做好安全生产、防汛、防火、减灾救灾、防疫、气象灾害防御、食品药品安全等应急管理工作。承担辖区平安建设和社会治安综合治理工作，全面加强“全要素网格”建设，落实社会矛盾纠纷排查调处机制，综合发挥人民调解、行政调解和司法调解的作用，及时化解辖区社会矛盾，确保社会稳定。 </w:t>
      </w:r>
    </w:p>
    <w:p>
      <w:pPr>
        <w:numPr>
          <w:ilvl w:val="0"/>
          <w:numId w:val="1"/>
        </w:numPr>
        <w:spacing w:line="540" w:lineRule="exact"/>
        <w:ind w:firstLine="640" w:firstLineChars="200"/>
        <w:rPr>
          <w:rFonts w:ascii="仿宋" w:hAnsi="仿宋" w:eastAsia="仿宋"/>
          <w:sz w:val="32"/>
          <w:szCs w:val="32"/>
        </w:rPr>
      </w:pPr>
      <w:r>
        <w:rPr>
          <w:rFonts w:hint="eastAsia" w:ascii="仿宋" w:hAnsi="仿宋" w:eastAsia="仿宋"/>
          <w:sz w:val="32"/>
          <w:szCs w:val="32"/>
        </w:rPr>
        <w:t xml:space="preserve">加强政务服务。组织实施与群众生活密切相关的各项行政审批和公共服务，落实人力资源、社会保障、医疗保障、移民、扶贫、民政、教育、体育、文化、旅游、卫生健康、自然资源、统计、水利等方面相关政策。加强镇综合便民服务平台标准化建设，推进集中审批服务，提升群众获得感和幸福感。 </w:t>
      </w:r>
    </w:p>
    <w:p>
      <w:pPr>
        <w:numPr>
          <w:ilvl w:val="0"/>
          <w:numId w:val="1"/>
        </w:numPr>
        <w:spacing w:line="540" w:lineRule="exact"/>
        <w:ind w:firstLine="640" w:firstLineChars="200"/>
        <w:rPr>
          <w:rFonts w:ascii="仿宋" w:hAnsi="仿宋" w:eastAsia="仿宋"/>
          <w:sz w:val="32"/>
          <w:szCs w:val="32"/>
        </w:rPr>
      </w:pPr>
      <w:r>
        <w:rPr>
          <w:rFonts w:hint="eastAsia" w:ascii="仿宋" w:hAnsi="仿宋" w:eastAsia="仿宋"/>
          <w:sz w:val="32"/>
          <w:szCs w:val="32"/>
        </w:rPr>
        <w:t>领导基层自治。领导村民委员会、业委会建设，健全自治平台，推进村民委员会自治；组织村民和单位参与村（社区）建设和管理，健全完善自治、法治、德治相结合的基层治理体系；推进村务公开、财务公开。</w:t>
      </w:r>
    </w:p>
    <w:p>
      <w:pPr>
        <w:numPr>
          <w:ilvl w:val="0"/>
          <w:numId w:val="1"/>
        </w:numPr>
        <w:spacing w:line="540" w:lineRule="exact"/>
        <w:ind w:firstLine="640" w:firstLineChars="200"/>
        <w:rPr>
          <w:rFonts w:ascii="仿宋" w:hAnsi="仿宋" w:eastAsia="仿宋"/>
          <w:sz w:val="32"/>
          <w:szCs w:val="32"/>
        </w:rPr>
      </w:pPr>
      <w:r>
        <w:rPr>
          <w:rFonts w:hint="eastAsia" w:ascii="仿宋" w:hAnsi="仿宋" w:eastAsia="仿宋"/>
          <w:sz w:val="32"/>
          <w:szCs w:val="32"/>
        </w:rPr>
        <w:t>动员社会参与。动员辖区内各类单位、社会组织和村民等社会力量参与村（社区）治理，引导辖区内单位履行社会责任，整合区域内各种社会力量为辖区发展服务。</w:t>
      </w:r>
    </w:p>
    <w:p>
      <w:pPr>
        <w:numPr>
          <w:ilvl w:val="0"/>
          <w:numId w:val="1"/>
        </w:numPr>
        <w:spacing w:line="540" w:lineRule="exact"/>
        <w:ind w:firstLine="640" w:firstLineChars="200"/>
        <w:rPr>
          <w:rFonts w:ascii="仿宋" w:hAnsi="仿宋" w:eastAsia="仿宋"/>
          <w:sz w:val="32"/>
          <w:szCs w:val="32"/>
        </w:rPr>
      </w:pPr>
      <w:r>
        <w:rPr>
          <w:rFonts w:hint="eastAsia" w:ascii="仿宋" w:hAnsi="仿宋" w:eastAsia="仿宋"/>
          <w:sz w:val="32"/>
          <w:szCs w:val="32"/>
        </w:rPr>
        <w:t>加强财税管理。负责镇本级财务以及集体资产管理工作，协助做好税收征管工作，指导监督村级财务和资产管理工作。</w:t>
      </w:r>
    </w:p>
    <w:p>
      <w:pPr>
        <w:numPr>
          <w:ilvl w:val="0"/>
          <w:numId w:val="1"/>
        </w:numPr>
        <w:spacing w:line="540" w:lineRule="exact"/>
        <w:ind w:firstLine="640" w:firstLineChars="200"/>
        <w:rPr>
          <w:rFonts w:ascii="仿宋" w:hAnsi="仿宋" w:eastAsia="仿宋"/>
          <w:sz w:val="32"/>
          <w:szCs w:val="32"/>
        </w:rPr>
      </w:pPr>
      <w:r>
        <w:rPr>
          <w:rFonts w:hint="eastAsia" w:ascii="仿宋" w:hAnsi="仿宋" w:eastAsia="仿宋"/>
          <w:sz w:val="32"/>
          <w:szCs w:val="32"/>
        </w:rPr>
        <w:t>做好国防教育和兵役、退役军人事务等工作。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10、承担区党工委、管委会交办的其他事项。</w:t>
      </w:r>
    </w:p>
    <w:p>
      <w:pPr>
        <w:spacing w:line="520" w:lineRule="exact"/>
        <w:outlineLvl w:val="2"/>
        <w:rPr>
          <w:rFonts w:ascii="仿宋" w:hAnsi="仿宋" w:eastAsia="仿宋"/>
          <w:b/>
          <w:sz w:val="32"/>
          <w:szCs w:val="32"/>
        </w:rPr>
      </w:pPr>
      <w:bookmarkStart w:id="25" w:name="_Toc22051"/>
      <w:bookmarkStart w:id="26" w:name="_Toc16862"/>
      <w:r>
        <w:rPr>
          <w:rFonts w:ascii="仿宋" w:hAnsi="仿宋" w:eastAsia="仿宋"/>
          <w:sz w:val="32"/>
          <w:szCs w:val="32"/>
        </w:rPr>
        <w:fldChar w:fldCharType="begin"/>
      </w:r>
      <w:r>
        <w:rPr>
          <w:rFonts w:ascii="仿宋" w:hAnsi="仿宋" w:eastAsia="仿宋"/>
          <w:sz w:val="32"/>
          <w:szCs w:val="32"/>
        </w:rPr>
        <w:instrText xml:space="preserve"> HYPERLINK \l "_Toc123122493"</w:instrText>
      </w:r>
      <w:r>
        <w:rPr>
          <w:rFonts w:ascii="仿宋" w:hAnsi="仿宋" w:eastAsia="仿宋"/>
          <w:sz w:val="32"/>
          <w:szCs w:val="32"/>
        </w:rPr>
        <w:fldChar w:fldCharType="separate"/>
      </w:r>
      <w:r>
        <w:rPr>
          <w:rFonts w:hint="eastAsia" w:ascii="仿宋" w:hAnsi="仿宋" w:eastAsia="仿宋" w:cs="仿宋"/>
          <w:b/>
          <w:sz w:val="32"/>
          <w:szCs w:val="32"/>
        </w:rPr>
        <w:t>1.1.3</w:t>
      </w:r>
      <w:r>
        <w:rPr>
          <w:rFonts w:ascii="仿宋" w:hAnsi="仿宋" w:eastAsia="仿宋" w:cs="仿宋"/>
          <w:b/>
          <w:sz w:val="32"/>
          <w:szCs w:val="32"/>
        </w:rPr>
        <w:t>资产情况</w:t>
      </w:r>
      <w:r>
        <w:rPr>
          <w:rFonts w:ascii="仿宋" w:hAnsi="仿宋" w:eastAsia="仿宋" w:cs="仿宋"/>
          <w:b/>
          <w:sz w:val="32"/>
          <w:szCs w:val="32"/>
        </w:rPr>
        <w:tab/>
      </w:r>
      <w:r>
        <w:rPr>
          <w:rFonts w:ascii="仿宋" w:hAnsi="仿宋" w:eastAsia="仿宋" w:cs="仿宋"/>
          <w:b/>
          <w:sz w:val="32"/>
          <w:szCs w:val="32"/>
        </w:rPr>
        <w:fldChar w:fldCharType="end"/>
      </w:r>
      <w:bookmarkEnd w:id="25"/>
      <w:bookmarkEnd w:id="26"/>
    </w:p>
    <w:p>
      <w:pPr>
        <w:spacing w:line="520" w:lineRule="exact"/>
        <w:ind w:firstLine="640" w:firstLineChars="200"/>
        <w:rPr>
          <w:rFonts w:ascii="仿宋" w:hAnsi="仿宋" w:eastAsia="仿宋" w:cs="仿宋"/>
          <w:b/>
          <w:sz w:val="32"/>
          <w:szCs w:val="32"/>
          <w:highlight w:val="yellow"/>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2年末账面反映资产总额4039.79万元，其中流动资产1470.08万元(其中包括货币资金0.16万元、财政应返还额度973.39万元、应收账款231.15万元、其他应收款265.39万元）、非流动资产2569.71万元。</w:t>
      </w:r>
    </w:p>
    <w:p>
      <w:pPr>
        <w:spacing w:line="520" w:lineRule="exact"/>
        <w:outlineLvl w:val="1"/>
        <w:rPr>
          <w:rFonts w:ascii="仿宋" w:hAnsi="仿宋" w:eastAsia="仿宋" w:cs="仿宋"/>
          <w:b/>
          <w:sz w:val="32"/>
          <w:szCs w:val="32"/>
        </w:rPr>
      </w:pPr>
      <w:bookmarkStart w:id="27" w:name="_Toc27361"/>
      <w:r>
        <w:rPr>
          <w:rFonts w:ascii="仿宋" w:hAnsi="仿宋" w:eastAsia="仿宋"/>
          <w:sz w:val="32"/>
          <w:szCs w:val="32"/>
        </w:rPr>
        <w:fldChar w:fldCharType="begin"/>
      </w:r>
      <w:r>
        <w:rPr>
          <w:rFonts w:ascii="仿宋" w:hAnsi="仿宋" w:eastAsia="仿宋"/>
          <w:sz w:val="32"/>
          <w:szCs w:val="32"/>
        </w:rPr>
        <w:instrText xml:space="preserve"> HYPERLINK \l "_Toc123122494"</w:instrText>
      </w:r>
      <w:r>
        <w:rPr>
          <w:rFonts w:ascii="仿宋" w:hAnsi="仿宋" w:eastAsia="仿宋"/>
          <w:sz w:val="32"/>
          <w:szCs w:val="32"/>
        </w:rPr>
        <w:fldChar w:fldCharType="separate"/>
      </w:r>
      <w:r>
        <w:rPr>
          <w:rFonts w:hint="eastAsia" w:ascii="仿宋" w:hAnsi="仿宋" w:eastAsia="仿宋" w:cs="仿宋"/>
          <w:b/>
          <w:sz w:val="32"/>
          <w:szCs w:val="32"/>
        </w:rPr>
        <w:t xml:space="preserve">1.2 </w:t>
      </w:r>
      <w:r>
        <w:rPr>
          <w:rFonts w:ascii="仿宋" w:hAnsi="仿宋" w:eastAsia="仿宋" w:cs="仿宋"/>
          <w:b/>
          <w:sz w:val="32"/>
          <w:szCs w:val="32"/>
        </w:rPr>
        <w:t>工作任务</w:t>
      </w:r>
      <w:r>
        <w:rPr>
          <w:rFonts w:hint="eastAsia" w:ascii="仿宋" w:hAnsi="仿宋" w:eastAsia="仿宋" w:cs="仿宋"/>
          <w:b/>
          <w:sz w:val="32"/>
          <w:szCs w:val="32"/>
        </w:rPr>
        <w:t>及绩效目标</w:t>
      </w:r>
      <w:r>
        <w:rPr>
          <w:rFonts w:ascii="仿宋" w:hAnsi="仿宋" w:eastAsia="仿宋" w:cs="仿宋"/>
          <w:b/>
          <w:sz w:val="32"/>
          <w:szCs w:val="32"/>
        </w:rPr>
        <w:tab/>
      </w:r>
      <w:r>
        <w:rPr>
          <w:rFonts w:ascii="仿宋" w:hAnsi="仿宋" w:eastAsia="仿宋" w:cs="仿宋"/>
          <w:b/>
          <w:sz w:val="32"/>
          <w:szCs w:val="32"/>
        </w:rPr>
        <w:fldChar w:fldCharType="end"/>
      </w:r>
      <w:bookmarkEnd w:id="27"/>
    </w:p>
    <w:p>
      <w:pPr>
        <w:spacing w:line="520" w:lineRule="exact"/>
        <w:outlineLvl w:val="2"/>
        <w:rPr>
          <w:rFonts w:ascii="仿宋" w:hAnsi="仿宋" w:eastAsia="仿宋" w:cs="仿宋"/>
          <w:b/>
          <w:sz w:val="32"/>
          <w:szCs w:val="32"/>
        </w:rPr>
      </w:pPr>
      <w:bookmarkStart w:id="28" w:name="_Toc29930"/>
      <w:bookmarkStart w:id="29" w:name="_Toc15439"/>
      <w:r>
        <w:rPr>
          <w:rFonts w:hint="eastAsia" w:ascii="仿宋" w:hAnsi="仿宋" w:eastAsia="仿宋" w:cs="仿宋"/>
          <w:b/>
          <w:sz w:val="32"/>
          <w:szCs w:val="32"/>
        </w:rPr>
        <w:t>1.2.1年度工作任务</w:t>
      </w:r>
      <w:bookmarkEnd w:id="28"/>
      <w:bookmarkEnd w:id="29"/>
    </w:p>
    <w:p>
      <w:pPr>
        <w:pStyle w:val="11"/>
        <w:spacing w:line="520" w:lineRule="exact"/>
        <w:ind w:firstLine="539"/>
        <w:textAlignment w:val="baseline"/>
        <w:rPr>
          <w:rFonts w:ascii="仿宋" w:hAnsi="仿宋" w:eastAsia="仿宋" w:cs="仿宋"/>
          <w:b/>
          <w:sz w:val="32"/>
          <w:szCs w:val="32"/>
        </w:rPr>
      </w:pPr>
      <w:r>
        <w:rPr>
          <w:rFonts w:hint="eastAsia" w:ascii="仿宋" w:hAnsi="仿宋" w:eastAsia="仿宋" w:cstheme="minorBidi"/>
          <w:kern w:val="2"/>
          <w:sz w:val="32"/>
          <w:szCs w:val="32"/>
        </w:rPr>
        <w:t>以习近平新时代中国特色社会主义思想为指导，深入学习贯彻党的十九届五中全会精神、中央经济工作会议精神，认真落实省委十四届十二次全会、市委五届十次会议精神及区党工委工作会议精神，主动适应新发展阶段，坚决贯彻新发展理念，构建新发展格局，坚持稳中求进工作总基调，扎实做好“六稳”工作，全面落实“六保”任务，按照 “1310”工作思路，即围绕“一个目标”，推进好“三项重点任务”，扎实做好以下“十个方面工作”：扎实做好征地拆迁工作。做好城乡人居整治工作</w:t>
      </w:r>
      <w:r>
        <w:rPr>
          <w:rFonts w:hint="eastAsia" w:ascii="仿宋" w:hAnsi="仿宋" w:eastAsia="仿宋"/>
          <w:sz w:val="32"/>
          <w:szCs w:val="32"/>
        </w:rPr>
        <w:t>。推进农业农村工作。提升公共服务质量工作。 严抓安全生产工作。落实生态环境保护工作。强化政府自身建设工作。抓实基层党建工作。</w:t>
      </w:r>
    </w:p>
    <w:p>
      <w:pPr>
        <w:spacing w:line="520" w:lineRule="exact"/>
        <w:outlineLvl w:val="2"/>
        <w:rPr>
          <w:rFonts w:ascii="仿宋" w:hAnsi="仿宋" w:eastAsia="仿宋" w:cs="仿宋"/>
          <w:b/>
          <w:sz w:val="32"/>
          <w:szCs w:val="32"/>
        </w:rPr>
      </w:pPr>
      <w:bookmarkStart w:id="30" w:name="_Toc25099"/>
      <w:bookmarkStart w:id="31" w:name="_Toc28338"/>
      <w:r>
        <w:rPr>
          <w:rFonts w:hint="eastAsia" w:ascii="仿宋" w:hAnsi="仿宋" w:eastAsia="仿宋" w:cs="仿宋"/>
          <w:b/>
          <w:sz w:val="32"/>
          <w:szCs w:val="32"/>
        </w:rPr>
        <w:t>1.2.2总目标</w:t>
      </w:r>
      <w:bookmarkEnd w:id="30"/>
      <w:bookmarkEnd w:id="31"/>
    </w:p>
    <w:p>
      <w:pPr>
        <w:spacing w:line="520" w:lineRule="exact"/>
        <w:ind w:firstLine="640" w:firstLineChars="200"/>
        <w:rPr>
          <w:rFonts w:ascii="仿宋" w:hAnsi="仿宋" w:eastAsia="仿宋"/>
          <w:sz w:val="32"/>
          <w:szCs w:val="32"/>
        </w:rPr>
      </w:pPr>
      <w:r>
        <w:rPr>
          <w:rFonts w:hint="eastAsia" w:ascii="仿宋" w:hAnsi="仿宋" w:eastAsia="仿宋"/>
          <w:sz w:val="32"/>
          <w:szCs w:val="32"/>
        </w:rPr>
        <w:t>把潭东镇建设成为富裕文明、秀美宜居、和谐幸福的新型城镇化示范区作为奋斗目标。</w:t>
      </w:r>
    </w:p>
    <w:p>
      <w:pPr>
        <w:spacing w:line="520" w:lineRule="exact"/>
        <w:outlineLvl w:val="2"/>
        <w:rPr>
          <w:rFonts w:ascii="仿宋" w:hAnsi="仿宋" w:eastAsia="仿宋" w:cs="仿宋"/>
          <w:b/>
          <w:sz w:val="32"/>
          <w:szCs w:val="32"/>
        </w:rPr>
      </w:pPr>
      <w:bookmarkStart w:id="32" w:name="_Toc10145"/>
      <w:bookmarkStart w:id="33" w:name="_Toc25742"/>
      <w:r>
        <w:rPr>
          <w:rFonts w:hint="eastAsia" w:ascii="仿宋" w:hAnsi="仿宋" w:eastAsia="仿宋" w:cs="仿宋"/>
          <w:b/>
          <w:sz w:val="32"/>
          <w:szCs w:val="32"/>
        </w:rPr>
        <w:t>1.2.3年度目标</w:t>
      </w:r>
      <w:bookmarkEnd w:id="32"/>
      <w:bookmarkEnd w:id="33"/>
    </w:p>
    <w:p>
      <w:pPr>
        <w:spacing w:line="520" w:lineRule="exact"/>
        <w:ind w:firstLine="640" w:firstLineChars="200"/>
        <w:rPr>
          <w:rFonts w:ascii="仿宋" w:hAnsi="仿宋" w:eastAsia="仿宋"/>
          <w:sz w:val="32"/>
          <w:szCs w:val="32"/>
        </w:rPr>
      </w:pPr>
      <w:r>
        <w:rPr>
          <w:rFonts w:hint="eastAsia" w:ascii="仿宋" w:hAnsi="仿宋" w:eastAsia="仿宋"/>
          <w:sz w:val="32"/>
          <w:szCs w:val="32"/>
        </w:rPr>
        <w:t>落实好上级布置的征地拆迁工作，对历史遗留问题进行扫尾“清零”。</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持续推进人居环境整治工作，强化工作调度，进一步压实村级主体责任，强化宣传动员与网格化管理，加强清洁家庭评比，培养群众良好的卫生习惯。</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落实农田水利建设、粮食生产、防汛抗洪工作，推进江坝蔬菜基地建设。</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扎实做好“保文创卫”工作，完善公共服务设施，补齐基础设施短板，提升公共服务质量，发挥好“赣服通”平台，镇、村级便民服务中心作用，提高公共服务能力，打造人民满意政府。</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建立健全安全生产责任体系，切实落实安全生产责任。重点做好道路交通安全、建筑施工、森林防火、民用燃气及农村消防等工作。</w:t>
      </w:r>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保持高压态势，压实工作职责、强化动员宣传、加大环保执法监督力度，遏制秸秆焚烧现象，坚决打赢“蓝天保卫战”。</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完善各项规章制度，切实形成靠制度管人管事；强化培训，提高机关工作人员的政治素质和业务技能；持续深化作风整治，干部切实转变工作作风、提高工作效率。</w:t>
      </w:r>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落实好主体责任，深化基层党建“三化建设”各项要求，强化宗旨意识，着力在服务群众上下功夫，推行“党员联系户”、无职党员设岗定责等工作，充分发挥基层党支部的战斗堡垒和党员示范带动作用。开展好村（社区）“两委”换届工作。对照换届实施方案要求，把握时间节点，扎实做好村（社区）“两委”换届工作，选优配强村（社区）“两委”成员，确保换好新班子、换出新气象、换来新发展。</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抓牢党风廉政建设工作。抓好镇村干部学习教育常态化工作，狠抓农村基层党风廉政建设，把党风廉政建设的具体内容明确到各部门、站所、村（居），完善目标分类考核考评办法，引导镇村干部廉洁履职，营造风清气正的政治生态。</w:t>
      </w:r>
    </w:p>
    <w:p>
      <w:pPr>
        <w:spacing w:line="520" w:lineRule="exact"/>
        <w:outlineLvl w:val="1"/>
        <w:rPr>
          <w:rFonts w:ascii="仿宋" w:hAnsi="仿宋" w:eastAsia="仿宋" w:cs="仿宋"/>
          <w:b/>
          <w:sz w:val="32"/>
          <w:szCs w:val="32"/>
        </w:rPr>
      </w:pPr>
      <w:bookmarkStart w:id="34" w:name="_Toc46"/>
      <w:r>
        <w:rPr>
          <w:rFonts w:hint="eastAsia" w:ascii="仿宋" w:hAnsi="仿宋" w:eastAsia="仿宋" w:cs="仿宋"/>
          <w:b/>
          <w:sz w:val="32"/>
          <w:szCs w:val="32"/>
        </w:rPr>
        <w:t>1.3</w:t>
      </w:r>
      <w:r>
        <w:rPr>
          <w:rFonts w:ascii="仿宋" w:hAnsi="仿宋" w:eastAsia="仿宋" w:cs="仿宋"/>
          <w:b/>
          <w:sz w:val="32"/>
          <w:szCs w:val="32"/>
        </w:rPr>
        <w:t>预算及执行情况</w:t>
      </w:r>
      <w:bookmarkEnd w:id="34"/>
    </w:p>
    <w:p>
      <w:pPr>
        <w:spacing w:line="520" w:lineRule="exact"/>
        <w:ind w:firstLine="643" w:firstLineChars="200"/>
        <w:jc w:val="left"/>
        <w:rPr>
          <w:rFonts w:ascii="仿宋" w:hAnsi="仿宋" w:eastAsia="仿宋"/>
          <w:sz w:val="32"/>
          <w:szCs w:val="32"/>
        </w:rPr>
      </w:pPr>
      <w:r>
        <w:rPr>
          <w:rFonts w:hint="eastAsia" w:ascii="仿宋" w:hAnsi="仿宋" w:eastAsia="仿宋"/>
          <w:b/>
          <w:sz w:val="32"/>
          <w:szCs w:val="32"/>
        </w:rPr>
        <w:t>年度单位预算情况</w:t>
      </w:r>
      <w:r>
        <w:rPr>
          <w:rFonts w:hint="eastAsia" w:ascii="仿宋" w:hAnsi="仿宋" w:eastAsia="仿宋"/>
          <w:sz w:val="32"/>
          <w:szCs w:val="32"/>
        </w:rPr>
        <w:t>—2022年年初预算收入总计2337.41万元，全部为一般公共预算拨款收入。年初预算支出2337.41万元，其中：基本支出1146.76万元，项目支出1190.65万元。</w:t>
      </w:r>
    </w:p>
    <w:p>
      <w:pPr>
        <w:pStyle w:val="2"/>
        <w:spacing w:line="520" w:lineRule="exact"/>
        <w:ind w:firstLine="616"/>
      </w:pPr>
      <w:r>
        <w:rPr>
          <w:rFonts w:hint="eastAsia" w:ascii="仿宋" w:hAnsi="仿宋" w:eastAsia="仿宋"/>
          <w:spacing w:val="-6"/>
          <w:sz w:val="32"/>
          <w:szCs w:val="32"/>
        </w:rPr>
        <w:t>2022年预算调整收入1115.41万元，调整后预算总收入3452.82万元。</w:t>
      </w:r>
    </w:p>
    <w:p>
      <w:pPr>
        <w:spacing w:line="520" w:lineRule="exact"/>
        <w:ind w:firstLine="619" w:firstLineChars="200"/>
        <w:jc w:val="left"/>
        <w:rPr>
          <w:rFonts w:ascii="仿宋" w:hAnsi="仿宋" w:eastAsia="仿宋"/>
          <w:sz w:val="32"/>
          <w:szCs w:val="32"/>
        </w:rPr>
      </w:pPr>
      <w:r>
        <w:rPr>
          <w:rFonts w:hint="eastAsia" w:ascii="仿宋" w:hAnsi="仿宋" w:eastAsia="仿宋"/>
          <w:b/>
          <w:spacing w:val="-6"/>
          <w:sz w:val="32"/>
          <w:szCs w:val="32"/>
        </w:rPr>
        <w:t>年度单位预算执行情况</w:t>
      </w:r>
      <w:r>
        <w:rPr>
          <w:rFonts w:hint="eastAsia" w:ascii="仿宋" w:hAnsi="仿宋" w:eastAsia="仿宋"/>
          <w:spacing w:val="-6"/>
          <w:sz w:val="32"/>
          <w:szCs w:val="32"/>
        </w:rPr>
        <w:t>—2022年度决算收入总额</w:t>
      </w:r>
      <w:r>
        <w:rPr>
          <w:rFonts w:hint="eastAsia" w:ascii="仿宋" w:hAnsi="仿宋" w:eastAsia="仿宋"/>
          <w:sz w:val="32"/>
          <w:szCs w:val="32"/>
        </w:rPr>
        <w:t>3452.82万元，其中：本年一般公共预算财政拨款收入3452.82万元。</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2022年度决算支出3452.82万元，其中：</w:t>
      </w:r>
      <w:r>
        <w:rPr>
          <w:rFonts w:ascii="仿宋" w:hAnsi="仿宋" w:eastAsia="仿宋"/>
          <w:sz w:val="32"/>
          <w:szCs w:val="32"/>
        </w:rPr>
        <w:fldChar w:fldCharType="begin"/>
      </w:r>
      <w:r>
        <w:rPr>
          <w:rFonts w:hint="eastAsia" w:ascii="仿宋" w:hAnsi="仿宋" w:eastAsia="仿宋"/>
          <w:sz w:val="32"/>
          <w:szCs w:val="32"/>
        </w:rPr>
        <w:instrText xml:space="preserve">= 1 \* GB3</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按支出性质分类：基本支出2107.31万元，项目支出1345.50万元；</w:t>
      </w:r>
      <w:r>
        <w:rPr>
          <w:rFonts w:ascii="仿宋" w:hAnsi="仿宋" w:eastAsia="仿宋"/>
          <w:sz w:val="32"/>
          <w:szCs w:val="32"/>
        </w:rPr>
        <w:fldChar w:fldCharType="begin"/>
      </w:r>
      <w:r>
        <w:rPr>
          <w:rFonts w:hint="eastAsia" w:ascii="仿宋" w:hAnsi="仿宋" w:eastAsia="仿宋"/>
          <w:sz w:val="32"/>
          <w:szCs w:val="32"/>
        </w:rPr>
        <w:instrText xml:space="preserve">= 2 \* GB3</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基本支出按经济分类：工资福利支出2107.31万元、商品和服务支出0万元、对个人和家庭补助支出0万元。</w:t>
      </w:r>
    </w:p>
    <w:p>
      <w:pPr>
        <w:pStyle w:val="2"/>
        <w:spacing w:line="520" w:lineRule="exact"/>
        <w:ind w:firstLine="640"/>
      </w:pPr>
      <w:r>
        <w:rPr>
          <w:rFonts w:hint="eastAsia" w:ascii="仿宋" w:hAnsi="仿宋" w:eastAsia="仿宋"/>
          <w:sz w:val="32"/>
          <w:szCs w:val="32"/>
        </w:rPr>
        <w:t>基本支出中人员经费支出2107.31万元，占基本支出的100%，日常公用经费支出0万元（日常公用经费实际在人员经费中列支126.70万元），占基本支出的0%。</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预算完成率</w:t>
      </w:r>
      <w:r>
        <w:rPr>
          <w:rFonts w:hint="eastAsia" w:ascii="仿宋" w:hAnsi="仿宋" w:eastAsia="仿宋"/>
          <w:sz w:val="32"/>
          <w:szCs w:val="32"/>
        </w:rPr>
        <w:t>=（预算完成数÷预算调整数）×100%=（3452.82万元÷3452.82万元）×100%=</w:t>
      </w:r>
      <w:r>
        <w:rPr>
          <w:rFonts w:ascii="仿宋" w:hAnsi="仿宋" w:eastAsia="仿宋"/>
          <w:sz w:val="32"/>
          <w:szCs w:val="32"/>
        </w:rPr>
        <w:t>100</w:t>
      </w:r>
      <w:r>
        <w:rPr>
          <w:rFonts w:hint="eastAsia" w:ascii="仿宋" w:hAnsi="仿宋" w:eastAsia="仿宋"/>
          <w:sz w:val="32"/>
          <w:szCs w:val="32"/>
        </w:rPr>
        <w:t>%。</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公用经费控制情况</w:t>
      </w:r>
      <w:r>
        <w:rPr>
          <w:rFonts w:hint="eastAsia" w:ascii="仿宋" w:hAnsi="仿宋" w:eastAsia="仿宋"/>
          <w:sz w:val="32"/>
          <w:szCs w:val="32"/>
        </w:rPr>
        <w:t>—潭东镇镇政府2022年公用经费预算数128.99万元，当年公用经费实际支出126.70万元（公用经费在工资福利中列支）。</w:t>
      </w:r>
      <w:r>
        <w:rPr>
          <w:rFonts w:hint="eastAsia" w:ascii="仿宋" w:hAnsi="仿宋" w:eastAsia="仿宋"/>
          <w:b/>
          <w:sz w:val="32"/>
          <w:szCs w:val="32"/>
        </w:rPr>
        <w:t>公用经费控制率</w:t>
      </w:r>
      <w:r>
        <w:rPr>
          <w:rFonts w:hint="eastAsia" w:ascii="仿宋" w:hAnsi="仿宋" w:eastAsia="仿宋"/>
          <w:sz w:val="32"/>
          <w:szCs w:val="32"/>
        </w:rPr>
        <w:t>=（实际支出公用经费总额÷预算安排公用经费总额）×100%=（126.70万元÷128.99万元）×100%=98.22%。</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三公经费控制情况</w:t>
      </w:r>
      <w:r>
        <w:rPr>
          <w:rFonts w:hint="eastAsia" w:ascii="仿宋" w:hAnsi="仿宋" w:eastAsia="仿宋"/>
          <w:sz w:val="32"/>
          <w:szCs w:val="32"/>
        </w:rPr>
        <w:t>—潭东镇镇政府2022年三公经费预算数34万元，当年三公经费实际支出4.57万元。</w:t>
      </w:r>
      <w:r>
        <w:rPr>
          <w:rFonts w:hint="eastAsia" w:ascii="仿宋" w:hAnsi="仿宋" w:eastAsia="仿宋"/>
          <w:b/>
          <w:sz w:val="32"/>
          <w:szCs w:val="32"/>
        </w:rPr>
        <w:t>三公经费控制率</w:t>
      </w:r>
      <w:r>
        <w:rPr>
          <w:rFonts w:hint="eastAsia" w:ascii="仿宋" w:hAnsi="仿宋" w:eastAsia="仿宋"/>
          <w:sz w:val="32"/>
          <w:szCs w:val="32"/>
        </w:rPr>
        <w:t>=（“三公经费”实际支出数÷“三公经费”预算安排数）×100%=（4.57万元÷34万元）×100%=13.44%。</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政府采购预算执行情况</w:t>
      </w:r>
      <w:r>
        <w:rPr>
          <w:rFonts w:hint="eastAsia" w:ascii="仿宋" w:hAnsi="仿宋" w:eastAsia="仿宋"/>
          <w:sz w:val="32"/>
          <w:szCs w:val="32"/>
        </w:rPr>
        <w:t>—潭东镇镇政府2022年政府采购预算数50万元，当年实际政府采购支出34.87万元。</w:t>
      </w:r>
      <w:r>
        <w:rPr>
          <w:rFonts w:hint="eastAsia" w:ascii="仿宋" w:hAnsi="仿宋" w:eastAsia="仿宋"/>
          <w:b/>
          <w:sz w:val="32"/>
          <w:szCs w:val="32"/>
        </w:rPr>
        <w:t>政府采购执行率</w:t>
      </w:r>
      <w:r>
        <w:rPr>
          <w:rFonts w:hint="eastAsia" w:ascii="仿宋" w:hAnsi="仿宋" w:eastAsia="仿宋"/>
          <w:sz w:val="32"/>
          <w:szCs w:val="32"/>
        </w:rPr>
        <w:t>=（实际政府采购金额÷政府采购预算数）×100%=（34.87万元÷50万元）×100%=69.74%。</w:t>
      </w:r>
    </w:p>
    <w:p>
      <w:pPr>
        <w:spacing w:line="520" w:lineRule="exact"/>
        <w:outlineLvl w:val="1"/>
        <w:rPr>
          <w:rFonts w:ascii="仿宋" w:hAnsi="仿宋" w:eastAsia="仿宋" w:cs="仿宋"/>
          <w:b/>
          <w:sz w:val="32"/>
          <w:szCs w:val="32"/>
        </w:rPr>
      </w:pPr>
      <w:bookmarkStart w:id="35" w:name="_Toc18924"/>
      <w:r>
        <w:rPr>
          <w:rFonts w:ascii="仿宋" w:hAnsi="仿宋" w:eastAsia="仿宋"/>
          <w:sz w:val="32"/>
          <w:szCs w:val="32"/>
        </w:rPr>
        <w:fldChar w:fldCharType="begin"/>
      </w:r>
      <w:r>
        <w:rPr>
          <w:rFonts w:ascii="仿宋" w:hAnsi="仿宋" w:eastAsia="仿宋"/>
          <w:sz w:val="32"/>
          <w:szCs w:val="32"/>
        </w:rPr>
        <w:instrText xml:space="preserve"> HYPERLINK \l "_Toc123122495"</w:instrText>
      </w:r>
      <w:r>
        <w:rPr>
          <w:rFonts w:ascii="仿宋" w:hAnsi="仿宋" w:eastAsia="仿宋"/>
          <w:sz w:val="32"/>
          <w:szCs w:val="32"/>
        </w:rPr>
        <w:fldChar w:fldCharType="separate"/>
      </w:r>
      <w:r>
        <w:rPr>
          <w:rFonts w:hint="eastAsia" w:ascii="仿宋" w:hAnsi="仿宋" w:eastAsia="仿宋" w:cs="仿宋"/>
          <w:b/>
          <w:sz w:val="32"/>
          <w:szCs w:val="32"/>
        </w:rPr>
        <w:t>1.4履职完成情况</w:t>
      </w:r>
      <w:r>
        <w:rPr>
          <w:rFonts w:ascii="仿宋" w:hAnsi="仿宋" w:eastAsia="仿宋" w:cs="仿宋"/>
          <w:b/>
          <w:sz w:val="32"/>
          <w:szCs w:val="32"/>
        </w:rPr>
        <w:tab/>
      </w:r>
      <w:r>
        <w:rPr>
          <w:rFonts w:ascii="仿宋" w:hAnsi="仿宋" w:eastAsia="仿宋" w:cs="仿宋"/>
          <w:b/>
          <w:sz w:val="32"/>
          <w:szCs w:val="32"/>
        </w:rPr>
        <w:fldChar w:fldCharType="end"/>
      </w:r>
      <w:bookmarkEnd w:id="35"/>
    </w:p>
    <w:p>
      <w:pPr>
        <w:spacing w:line="520" w:lineRule="exact"/>
        <w:outlineLvl w:val="2"/>
        <w:rPr>
          <w:rFonts w:ascii="仿宋" w:hAnsi="仿宋" w:eastAsia="仿宋" w:cs="仿宋"/>
          <w:b/>
          <w:sz w:val="32"/>
          <w:szCs w:val="32"/>
        </w:rPr>
      </w:pPr>
      <w:bookmarkStart w:id="36" w:name="_Toc18223"/>
      <w:bookmarkStart w:id="37" w:name="_Toc6704"/>
      <w:r>
        <w:rPr>
          <w:rFonts w:hint="eastAsia" w:ascii="仿宋" w:hAnsi="仿宋" w:eastAsia="仿宋" w:cs="仿宋"/>
          <w:b/>
          <w:sz w:val="32"/>
          <w:szCs w:val="32"/>
        </w:rPr>
        <w:t>1.4.1任务完成情况</w:t>
      </w:r>
      <w:bookmarkEnd w:id="36"/>
      <w:bookmarkEnd w:id="37"/>
    </w:p>
    <w:p>
      <w:pPr>
        <w:widowControl/>
        <w:shd w:val="clear" w:color="auto" w:fill="FFFFFF"/>
        <w:spacing w:line="520" w:lineRule="exact"/>
        <w:ind w:firstLine="482"/>
        <w:jc w:val="left"/>
        <w:textAlignment w:val="baseline"/>
        <w:rPr>
          <w:rFonts w:ascii="仿宋" w:hAnsi="仿宋" w:eastAsia="仿宋" w:cs="仿宋"/>
          <w:b/>
          <w:sz w:val="32"/>
          <w:szCs w:val="32"/>
        </w:rPr>
      </w:pPr>
      <w:r>
        <w:rPr>
          <w:rFonts w:hint="eastAsia" w:ascii="仿宋" w:hAnsi="仿宋" w:eastAsia="仿宋"/>
          <w:sz w:val="32"/>
          <w:szCs w:val="32"/>
        </w:rPr>
        <w:t>认真贯彻中央、省、市和区党工委的决策部署，紧紧围绕保持经济平稳较快发展这一首要任务，各项建设发展顶住了严峻挑战，结构优化迈出了全新步伐，民生改善取得了良好效果，安全生产保持了总体平稳，经济社会发展实现了预期的目标，达到了预想的效果。</w:t>
      </w:r>
    </w:p>
    <w:p>
      <w:pPr>
        <w:spacing w:line="520" w:lineRule="exact"/>
        <w:outlineLvl w:val="2"/>
        <w:rPr>
          <w:rFonts w:ascii="仿宋" w:hAnsi="仿宋" w:eastAsia="仿宋" w:cs="仿宋"/>
          <w:b/>
          <w:sz w:val="32"/>
          <w:szCs w:val="32"/>
        </w:rPr>
      </w:pPr>
      <w:bookmarkStart w:id="38" w:name="_Toc27100"/>
      <w:bookmarkStart w:id="39" w:name="_Toc27116"/>
      <w:r>
        <w:rPr>
          <w:rFonts w:hint="eastAsia" w:ascii="仿宋" w:hAnsi="仿宋" w:eastAsia="仿宋" w:cs="仿宋"/>
          <w:b/>
          <w:sz w:val="32"/>
          <w:szCs w:val="32"/>
        </w:rPr>
        <w:t>1.4.2绩效管理情况</w:t>
      </w:r>
      <w:bookmarkEnd w:id="38"/>
      <w:bookmarkEnd w:id="39"/>
    </w:p>
    <w:p>
      <w:pPr>
        <w:spacing w:line="520" w:lineRule="exact"/>
        <w:rPr>
          <w:rFonts w:hint="eastAsia" w:ascii="仿宋" w:hAnsi="仿宋" w:eastAsia="仿宋" w:cs="仿宋"/>
          <w:sz w:val="32"/>
          <w:szCs w:val="32"/>
        </w:rPr>
      </w:pPr>
      <w:r>
        <w:fldChar w:fldCharType="begin"/>
      </w:r>
      <w:r>
        <w:instrText xml:space="preserve"> HYPERLINK \l "_Toc123122496" </w:instrText>
      </w:r>
      <w:r>
        <w:fldChar w:fldCharType="separate"/>
      </w:r>
      <w:r>
        <w:rPr>
          <w:rFonts w:hint="eastAsia" w:ascii="仿宋" w:hAnsi="仿宋" w:eastAsia="仿宋" w:cs="仿宋"/>
          <w:b/>
          <w:sz w:val="32"/>
          <w:szCs w:val="32"/>
        </w:rPr>
        <w:tab/>
      </w:r>
      <w:r>
        <w:rPr>
          <w:rFonts w:hint="eastAsia" w:ascii="仿宋" w:hAnsi="仿宋" w:eastAsia="仿宋" w:cs="仿宋"/>
          <w:b/>
          <w:sz w:val="32"/>
          <w:szCs w:val="32"/>
        </w:rPr>
        <w:fldChar w:fldCharType="end"/>
      </w:r>
      <w:r>
        <w:rPr>
          <w:rFonts w:hint="eastAsia" w:ascii="仿宋" w:hAnsi="仿宋" w:eastAsia="仿宋" w:cs="仿宋"/>
          <w:sz w:val="32"/>
          <w:szCs w:val="32"/>
        </w:rPr>
        <w:t>潭东镇镇政府开展了绩效目标管理工作，分年度设立部门整体支出和项目支出的绩效目标，并按要求申报了相关绩效目标；开展了绩效评价工作，对2022年度部门整体支出和纳入部门预算范围内的5个项目支出进行了绩效自评，并在政府门户网站上公开了绩效自评的相关信息。</w:t>
      </w:r>
    </w:p>
    <w:p>
      <w:pPr>
        <w:pStyle w:val="2"/>
      </w:pPr>
    </w:p>
    <w:p>
      <w:pPr>
        <w:spacing w:line="520" w:lineRule="exact"/>
        <w:outlineLvl w:val="0"/>
        <w:rPr>
          <w:rFonts w:ascii="仿宋" w:hAnsi="仿宋" w:eastAsia="仿宋" w:cs="仿宋"/>
          <w:b/>
          <w:sz w:val="32"/>
          <w:szCs w:val="32"/>
        </w:rPr>
      </w:pPr>
      <w:bookmarkStart w:id="40" w:name="_Toc6232"/>
      <w:bookmarkStart w:id="41" w:name="_Toc7841"/>
      <w:r>
        <w:rPr>
          <w:rFonts w:ascii="仿宋" w:hAnsi="仿宋" w:eastAsia="仿宋"/>
          <w:sz w:val="32"/>
          <w:szCs w:val="32"/>
        </w:rPr>
        <w:fldChar w:fldCharType="begin"/>
      </w:r>
      <w:r>
        <w:rPr>
          <w:rFonts w:ascii="仿宋" w:hAnsi="仿宋" w:eastAsia="仿宋"/>
          <w:sz w:val="32"/>
          <w:szCs w:val="32"/>
        </w:rPr>
        <w:instrText xml:space="preserve"> HYPERLINK \l "_Toc123122497"</w:instrText>
      </w:r>
      <w:r>
        <w:rPr>
          <w:rFonts w:ascii="仿宋" w:hAnsi="仿宋" w:eastAsia="仿宋"/>
          <w:sz w:val="32"/>
          <w:szCs w:val="32"/>
        </w:rPr>
        <w:fldChar w:fldCharType="separate"/>
      </w:r>
      <w:r>
        <w:rPr>
          <w:rFonts w:hint="eastAsia" w:ascii="仿宋" w:hAnsi="仿宋" w:eastAsia="仿宋"/>
          <w:sz w:val="32"/>
          <w:szCs w:val="32"/>
          <w:lang w:val="en-US" w:eastAsia="zh-CN"/>
        </w:rPr>
        <w:t>二</w:t>
      </w:r>
      <w:r>
        <w:rPr>
          <w:rFonts w:ascii="仿宋" w:hAnsi="仿宋" w:eastAsia="仿宋" w:cs="仿宋"/>
          <w:b/>
          <w:sz w:val="32"/>
          <w:szCs w:val="32"/>
        </w:rPr>
        <w:t>、</w:t>
      </w:r>
      <w:r>
        <w:rPr>
          <w:rFonts w:hint="eastAsia" w:ascii="仿宋" w:hAnsi="仿宋" w:eastAsia="仿宋" w:cs="仿宋"/>
          <w:b/>
          <w:sz w:val="32"/>
          <w:szCs w:val="32"/>
        </w:rPr>
        <w:t>绩效</w:t>
      </w:r>
      <w:r>
        <w:rPr>
          <w:rFonts w:ascii="仿宋" w:hAnsi="仿宋" w:eastAsia="仿宋" w:cs="仿宋"/>
          <w:b/>
          <w:sz w:val="32"/>
          <w:szCs w:val="32"/>
        </w:rPr>
        <w:t>评价工作情况</w:t>
      </w:r>
      <w:r>
        <w:rPr>
          <w:rFonts w:ascii="仿宋" w:hAnsi="仿宋" w:eastAsia="仿宋" w:cs="仿宋"/>
          <w:b/>
          <w:sz w:val="32"/>
          <w:szCs w:val="32"/>
        </w:rPr>
        <w:tab/>
      </w:r>
      <w:r>
        <w:rPr>
          <w:rFonts w:ascii="仿宋" w:hAnsi="仿宋" w:eastAsia="仿宋" w:cs="仿宋"/>
          <w:b/>
          <w:sz w:val="32"/>
          <w:szCs w:val="32"/>
        </w:rPr>
        <w:fldChar w:fldCharType="end"/>
      </w:r>
      <w:bookmarkEnd w:id="40"/>
      <w:bookmarkEnd w:id="41"/>
    </w:p>
    <w:p>
      <w:pPr>
        <w:spacing w:line="520" w:lineRule="exact"/>
        <w:outlineLvl w:val="1"/>
        <w:rPr>
          <w:rFonts w:ascii="仿宋" w:hAnsi="仿宋" w:eastAsia="仿宋" w:cs="仿宋"/>
          <w:b/>
          <w:sz w:val="32"/>
          <w:szCs w:val="32"/>
        </w:rPr>
      </w:pPr>
      <w:bookmarkStart w:id="42" w:name="_Toc9575"/>
      <w:bookmarkStart w:id="43" w:name="_Toc22929"/>
      <w:r>
        <w:rPr>
          <w:rFonts w:hint="eastAsia" w:ascii="仿宋" w:hAnsi="仿宋" w:eastAsia="仿宋" w:cs="仿宋"/>
          <w:b/>
          <w:sz w:val="32"/>
          <w:szCs w:val="32"/>
        </w:rPr>
        <w:t>2.1绩效评价目的及评价依据</w:t>
      </w:r>
      <w:bookmarkEnd w:id="42"/>
      <w:bookmarkEnd w:id="43"/>
    </w:p>
    <w:p>
      <w:pPr>
        <w:spacing w:line="520" w:lineRule="exact"/>
        <w:outlineLvl w:val="2"/>
        <w:rPr>
          <w:rFonts w:ascii="仿宋" w:hAnsi="仿宋" w:eastAsia="仿宋"/>
          <w:sz w:val="32"/>
          <w:szCs w:val="32"/>
        </w:rPr>
      </w:pPr>
      <w:bookmarkStart w:id="44" w:name="_Toc12424"/>
      <w:bookmarkStart w:id="45" w:name="_Toc30680"/>
      <w:r>
        <w:rPr>
          <w:rFonts w:hint="eastAsia" w:ascii="仿宋" w:hAnsi="仿宋" w:eastAsia="仿宋"/>
          <w:b/>
          <w:sz w:val="32"/>
          <w:szCs w:val="32"/>
        </w:rPr>
        <w:t>2.1.1评价目的</w:t>
      </w:r>
      <w:bookmarkEnd w:id="44"/>
      <w:bookmarkEnd w:id="45"/>
    </w:p>
    <w:p>
      <w:pPr>
        <w:pStyle w:val="2"/>
        <w:spacing w:line="520" w:lineRule="exact"/>
        <w:ind w:firstLine="640"/>
        <w:rPr>
          <w:rFonts w:ascii="仿宋" w:hAnsi="仿宋" w:eastAsia="仿宋"/>
          <w:sz w:val="32"/>
          <w:szCs w:val="32"/>
        </w:rPr>
      </w:pPr>
      <w:r>
        <w:rPr>
          <w:rFonts w:hint="eastAsia" w:ascii="仿宋" w:hAnsi="仿宋" w:eastAsia="仿宋"/>
          <w:sz w:val="32"/>
          <w:szCs w:val="32"/>
        </w:rPr>
        <w:t xml:space="preserve">通过本次绩效评价，跟踪潭东镇镇政府部门整体支出的情况，评价部门在使用预算资金履行自身职能过程中，预算编制的完整性和准确性、资金管理的规范性、财政资金投入运作后带来的产出与效果等情况，并总结取得的工作成果及存在问题，提高财政资金的使用质量与效率。 </w:t>
      </w:r>
    </w:p>
    <w:p>
      <w:pPr>
        <w:spacing w:line="520" w:lineRule="exact"/>
        <w:outlineLvl w:val="2"/>
        <w:rPr>
          <w:rFonts w:ascii="仿宋" w:hAnsi="仿宋" w:eastAsia="仿宋"/>
          <w:b/>
          <w:sz w:val="32"/>
          <w:szCs w:val="32"/>
        </w:rPr>
      </w:pPr>
      <w:bookmarkStart w:id="46" w:name="_Toc17593"/>
      <w:bookmarkStart w:id="47" w:name="_Toc8417"/>
      <w:r>
        <w:rPr>
          <w:rFonts w:hint="eastAsia" w:ascii="仿宋" w:hAnsi="仿宋" w:eastAsia="仿宋"/>
          <w:b/>
          <w:sz w:val="32"/>
          <w:szCs w:val="32"/>
        </w:rPr>
        <w:t>2.1.2评价依据</w:t>
      </w:r>
      <w:bookmarkEnd w:id="46"/>
      <w:bookmarkEnd w:id="47"/>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·《中共中央国务院关于全面实施预算绩效管理的意见》（中发〔2018〕</w:t>
      </w:r>
      <w:r>
        <w:rPr>
          <w:rFonts w:ascii="仿宋" w:hAnsi="仿宋" w:eastAsia="仿宋"/>
          <w:sz w:val="32"/>
          <w:szCs w:val="32"/>
        </w:rPr>
        <w:t>34</w:t>
      </w:r>
      <w:r>
        <w:rPr>
          <w:rFonts w:hint="eastAsia" w:ascii="仿宋" w:hAnsi="仿宋" w:eastAsia="仿宋"/>
          <w:sz w:val="32"/>
          <w:szCs w:val="32"/>
        </w:rPr>
        <w:t>号）；</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·《中共江西省委江西省人民政府关于全面实施预算绩效管理的实施意见》（赣发〔2019〕</w:t>
      </w:r>
      <w:r>
        <w:rPr>
          <w:rFonts w:ascii="仿宋" w:hAnsi="仿宋" w:eastAsia="仿宋"/>
          <w:sz w:val="32"/>
          <w:szCs w:val="32"/>
        </w:rPr>
        <w:t>8</w:t>
      </w:r>
      <w:r>
        <w:rPr>
          <w:rFonts w:hint="eastAsia" w:ascii="仿宋" w:hAnsi="仿宋" w:eastAsia="仿宋"/>
          <w:sz w:val="32"/>
          <w:szCs w:val="32"/>
        </w:rPr>
        <w:t>号）；</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·《中共赣州市委赣州市人民政府关于全面实施预算绩效管理的实施意见》（赣市发〔2019〕12号</w:t>
      </w:r>
      <w:r>
        <w:rPr>
          <w:rFonts w:ascii="仿宋" w:hAnsi="仿宋" w:eastAsia="仿宋"/>
          <w:sz w:val="32"/>
          <w:szCs w:val="32"/>
        </w:rPr>
        <w:t>）</w:t>
      </w:r>
      <w:r>
        <w:rPr>
          <w:rFonts w:hint="eastAsia" w:ascii="仿宋" w:hAnsi="仿宋" w:eastAsia="仿宋"/>
          <w:sz w:val="32"/>
          <w:szCs w:val="32"/>
        </w:rPr>
        <w:t>；</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·《赣州市预算绩效管理暂行办法》；</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·赣州蓉江新区财政局《赣州蓉江新区财政局关于开展2023年度区本级预算项目和部门整体支出绩效运行评价工作的通知》（赣蓉财预字〔2023〕10号）；</w:t>
      </w:r>
    </w:p>
    <w:p>
      <w:pPr>
        <w:widowControl/>
        <w:shd w:val="clear" w:color="auto" w:fill="FFFFFF"/>
        <w:spacing w:line="520" w:lineRule="exact"/>
        <w:ind w:firstLine="482"/>
        <w:jc w:val="left"/>
        <w:textAlignment w:val="baseline"/>
        <w:rPr>
          <w:rFonts w:ascii="仿宋" w:hAnsi="仿宋" w:eastAsia="仿宋" w:cs="仿宋"/>
          <w:b/>
          <w:sz w:val="32"/>
          <w:szCs w:val="32"/>
        </w:rPr>
      </w:pPr>
      <w:r>
        <w:rPr>
          <w:rFonts w:hint="eastAsia" w:ascii="仿宋" w:hAnsi="仿宋" w:eastAsia="仿宋"/>
          <w:sz w:val="32"/>
          <w:szCs w:val="32"/>
        </w:rPr>
        <w:t>·《赣州蓉江新区财政局关于做好2023年度绩效运行评价工作的通知》（赣蓉财预字〔2023〕11号）。</w:t>
      </w:r>
    </w:p>
    <w:p>
      <w:pPr>
        <w:spacing w:line="520" w:lineRule="exact"/>
        <w:outlineLvl w:val="1"/>
        <w:rPr>
          <w:rFonts w:ascii="仿宋" w:hAnsi="仿宋" w:eastAsia="仿宋" w:cs="仿宋"/>
          <w:b/>
          <w:sz w:val="32"/>
          <w:szCs w:val="32"/>
        </w:rPr>
      </w:pPr>
      <w:bookmarkStart w:id="48" w:name="_Toc616"/>
      <w:bookmarkStart w:id="49" w:name="_Toc27548"/>
      <w:r>
        <w:rPr>
          <w:rFonts w:hint="eastAsia" w:ascii="仿宋" w:hAnsi="仿宋" w:eastAsia="仿宋" w:cs="仿宋"/>
          <w:b/>
          <w:sz w:val="32"/>
          <w:szCs w:val="32"/>
        </w:rPr>
        <w:t>2.2绩效评价工作方案制定过程</w:t>
      </w:r>
      <w:bookmarkEnd w:id="48"/>
      <w:bookmarkEnd w:id="49"/>
    </w:p>
    <w:p>
      <w:pPr>
        <w:spacing w:line="520" w:lineRule="exact"/>
        <w:outlineLvl w:val="2"/>
        <w:rPr>
          <w:rFonts w:ascii="仿宋" w:hAnsi="仿宋" w:eastAsia="仿宋" w:cs="仿宋"/>
          <w:b/>
          <w:sz w:val="32"/>
          <w:szCs w:val="32"/>
        </w:rPr>
      </w:pPr>
      <w:bookmarkStart w:id="50" w:name="_Toc32767"/>
      <w:bookmarkStart w:id="51" w:name="_Toc16742"/>
      <w:r>
        <w:rPr>
          <w:rFonts w:hint="eastAsia" w:ascii="仿宋" w:hAnsi="仿宋" w:eastAsia="仿宋" w:cs="仿宋"/>
          <w:b/>
          <w:sz w:val="32"/>
          <w:szCs w:val="32"/>
        </w:rPr>
        <w:t>2.2.1前期调研</w:t>
      </w:r>
      <w:bookmarkEnd w:id="50"/>
      <w:bookmarkEnd w:id="51"/>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在受托对部门整体支出开展绩效评价后，绩效评价小组及时与潭东镇镇政府相关负责人进行沟通，了解基本情况：包括部门概况、预算及执行情况、年度工作计划、年度工作总结等相关文件资料。 </w:t>
      </w:r>
    </w:p>
    <w:p>
      <w:pPr>
        <w:spacing w:line="520" w:lineRule="exact"/>
        <w:outlineLvl w:val="2"/>
        <w:rPr>
          <w:rFonts w:ascii="仿宋" w:hAnsi="仿宋" w:eastAsia="仿宋"/>
          <w:b/>
          <w:sz w:val="32"/>
          <w:szCs w:val="32"/>
        </w:rPr>
      </w:pPr>
      <w:bookmarkStart w:id="52" w:name="_Toc19806"/>
      <w:bookmarkStart w:id="53" w:name="_Toc17896"/>
      <w:r>
        <w:rPr>
          <w:rFonts w:hint="eastAsia" w:ascii="仿宋" w:hAnsi="仿宋" w:eastAsia="仿宋"/>
          <w:b/>
          <w:sz w:val="32"/>
          <w:szCs w:val="32"/>
        </w:rPr>
        <w:t>2.2.2研究文件</w:t>
      </w:r>
      <w:bookmarkEnd w:id="52"/>
      <w:bookmarkEnd w:id="53"/>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对部门概况初步了解后，组织绩效评价小组成员对收集到的文件资料进行研读，并查阅与部门密切相关的规章制度、文件规定，力求获取对部门全方位的了解。根据赣州蓉江新区财政局的要求，结合部门特点，形成绩效评价的总体思路。 </w:t>
      </w:r>
    </w:p>
    <w:p>
      <w:pPr>
        <w:spacing w:line="520" w:lineRule="exact"/>
        <w:outlineLvl w:val="2"/>
        <w:rPr>
          <w:rFonts w:ascii="仿宋" w:hAnsi="仿宋" w:eastAsia="仿宋"/>
          <w:b/>
          <w:sz w:val="32"/>
          <w:szCs w:val="32"/>
        </w:rPr>
      </w:pPr>
      <w:bookmarkStart w:id="54" w:name="_Toc5276"/>
      <w:bookmarkStart w:id="55" w:name="_Toc28503"/>
      <w:r>
        <w:rPr>
          <w:rFonts w:hint="eastAsia" w:ascii="仿宋" w:hAnsi="仿宋" w:eastAsia="仿宋"/>
          <w:b/>
          <w:sz w:val="32"/>
          <w:szCs w:val="32"/>
        </w:rPr>
        <w:t>2.2.3绩效评价指标体系及工作方案设计</w:t>
      </w:r>
      <w:bookmarkEnd w:id="54"/>
      <w:bookmarkEnd w:id="55"/>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根据前期调研结果和对相关文件资料的研读，结合部门年度工作计划内容，形成方案初稿，并就方案的可行性、合理性向部门单位征求意见，根据反馈意见修改后形成最终的项目绩效评价方案。 </w:t>
      </w:r>
    </w:p>
    <w:p>
      <w:pPr>
        <w:spacing w:line="520" w:lineRule="exact"/>
        <w:outlineLvl w:val="1"/>
        <w:rPr>
          <w:rFonts w:ascii="仿宋" w:hAnsi="仿宋" w:eastAsia="仿宋"/>
          <w:b/>
          <w:sz w:val="32"/>
          <w:szCs w:val="32"/>
        </w:rPr>
      </w:pPr>
      <w:bookmarkStart w:id="56" w:name="_Toc19724"/>
      <w:bookmarkStart w:id="57" w:name="_Toc1026"/>
      <w:r>
        <w:rPr>
          <w:rFonts w:hint="eastAsia" w:ascii="仿宋" w:hAnsi="仿宋" w:eastAsia="仿宋"/>
          <w:b/>
          <w:sz w:val="32"/>
          <w:szCs w:val="32"/>
        </w:rPr>
        <w:t>2.3绩效评价原则、评价方法等</w:t>
      </w:r>
      <w:bookmarkEnd w:id="56"/>
      <w:bookmarkEnd w:id="57"/>
    </w:p>
    <w:p>
      <w:pPr>
        <w:spacing w:line="520" w:lineRule="exact"/>
        <w:outlineLvl w:val="2"/>
        <w:rPr>
          <w:rFonts w:ascii="仿宋" w:hAnsi="仿宋" w:eastAsia="仿宋"/>
          <w:b/>
          <w:sz w:val="32"/>
          <w:szCs w:val="32"/>
        </w:rPr>
      </w:pPr>
      <w:bookmarkStart w:id="58" w:name="_Toc6360"/>
      <w:bookmarkStart w:id="59" w:name="_Toc11491"/>
      <w:r>
        <w:rPr>
          <w:rFonts w:hint="eastAsia" w:ascii="仿宋" w:hAnsi="仿宋" w:eastAsia="仿宋"/>
          <w:b/>
          <w:sz w:val="32"/>
          <w:szCs w:val="32"/>
        </w:rPr>
        <w:t>2.3.1绩效评价原则</w:t>
      </w:r>
      <w:bookmarkEnd w:id="58"/>
      <w:bookmarkEnd w:id="59"/>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（1）科学规范。绩效评价注重财政支出的经济性、效率性和有效性，严格执行规定的程序，采用定量与定性分析相结合的方法。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（2）公正公开。绩效评价客观、公正，标准统一、资料可靠，依法公开并接受监督。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（3）绩效相关。绩效评价针对具体支出及其产出绩效进行，评价结果清晰反映支出和产出绩效之间的紧密对应关系。 </w:t>
      </w:r>
    </w:p>
    <w:p>
      <w:pPr>
        <w:spacing w:line="520" w:lineRule="exact"/>
        <w:outlineLvl w:val="2"/>
        <w:rPr>
          <w:rFonts w:ascii="仿宋" w:hAnsi="仿宋" w:eastAsia="仿宋"/>
          <w:b/>
          <w:sz w:val="32"/>
          <w:szCs w:val="32"/>
        </w:rPr>
      </w:pPr>
      <w:bookmarkStart w:id="60" w:name="_Toc30978"/>
      <w:bookmarkStart w:id="61" w:name="_Toc14772"/>
      <w:r>
        <w:rPr>
          <w:rFonts w:hint="eastAsia" w:ascii="仿宋" w:hAnsi="仿宋" w:eastAsia="仿宋"/>
          <w:b/>
          <w:sz w:val="32"/>
          <w:szCs w:val="32"/>
        </w:rPr>
        <w:t>2.3.2评价方法</w:t>
      </w:r>
      <w:bookmarkEnd w:id="60"/>
      <w:bookmarkEnd w:id="61"/>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本项目进行绩效评价时采用比较法等方法。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（1）比较法：充分运用部门预算资料、国家、赣州市发布的有关财政预算的各项法律规章制度，对比部门支出实际情况，找出差异与不足，对部门的各项绩效目标进行分析与评价。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（2）因素分析法：综合分析影响绩效目标实现、实施效果的内外因素，评价绩效目标实现程度。 </w:t>
      </w:r>
    </w:p>
    <w:p>
      <w:pPr>
        <w:pStyle w:val="19"/>
        <w:spacing w:line="520" w:lineRule="exact"/>
        <w:ind w:firstLine="640"/>
        <w:rPr>
          <w:rFonts w:ascii="仿宋" w:hAnsi="仿宋" w:eastAsia="仿宋"/>
          <w:sz w:val="32"/>
          <w:szCs w:val="32"/>
        </w:rPr>
      </w:pPr>
      <w:r>
        <w:rPr>
          <w:rFonts w:hint="eastAsia" w:ascii="仿宋" w:hAnsi="仿宋" w:eastAsia="仿宋"/>
          <w:sz w:val="32"/>
          <w:szCs w:val="32"/>
        </w:rPr>
        <w:t>（3）公众评判法：</w:t>
      </w:r>
      <w:r>
        <w:rPr>
          <w:rFonts w:ascii="仿宋" w:hAnsi="仿宋" w:eastAsia="仿宋"/>
          <w:sz w:val="32"/>
          <w:szCs w:val="32"/>
        </w:rPr>
        <w:t>通过</w:t>
      </w:r>
      <w:r>
        <w:rPr>
          <w:rFonts w:hint="eastAsia" w:ascii="仿宋" w:hAnsi="仿宋" w:eastAsia="仿宋"/>
          <w:sz w:val="32"/>
          <w:szCs w:val="32"/>
        </w:rPr>
        <w:t>对服务对象发布</w:t>
      </w:r>
      <w:r>
        <w:rPr>
          <w:rFonts w:ascii="仿宋" w:hAnsi="仿宋" w:eastAsia="仿宋"/>
          <w:sz w:val="32"/>
          <w:szCs w:val="32"/>
        </w:rPr>
        <w:t>公众问卷及抽样调查等对</w:t>
      </w:r>
      <w:r>
        <w:rPr>
          <w:rFonts w:hint="eastAsia" w:ascii="仿宋" w:hAnsi="仿宋" w:eastAsia="仿宋"/>
          <w:sz w:val="32"/>
          <w:szCs w:val="32"/>
        </w:rPr>
        <w:t>部门</w:t>
      </w:r>
      <w:r>
        <w:rPr>
          <w:rFonts w:ascii="仿宋" w:hAnsi="仿宋" w:eastAsia="仿宋"/>
          <w:sz w:val="32"/>
          <w:szCs w:val="32"/>
        </w:rPr>
        <w:t>支出效果进行评判，评价绩效目标实现程度</w:t>
      </w:r>
      <w:r>
        <w:rPr>
          <w:rFonts w:hint="eastAsia" w:ascii="仿宋" w:hAnsi="仿宋" w:eastAsia="仿宋"/>
          <w:sz w:val="32"/>
          <w:szCs w:val="32"/>
        </w:rPr>
        <w:t>和对象的满意度。</w:t>
      </w:r>
    </w:p>
    <w:p>
      <w:pPr>
        <w:pStyle w:val="19"/>
        <w:spacing w:line="520" w:lineRule="exact"/>
        <w:ind w:firstLine="640"/>
        <w:rPr>
          <w:rFonts w:ascii="仿宋" w:hAnsi="仿宋" w:eastAsia="仿宋"/>
          <w:sz w:val="32"/>
          <w:szCs w:val="32"/>
        </w:rPr>
      </w:pPr>
      <w:r>
        <w:rPr>
          <w:rFonts w:hint="eastAsia" w:ascii="仿宋" w:hAnsi="仿宋" w:eastAsia="仿宋"/>
          <w:sz w:val="32"/>
          <w:szCs w:val="32"/>
        </w:rPr>
        <w:t xml:space="preserve">（4）其他评价方法。 </w:t>
      </w:r>
    </w:p>
    <w:p>
      <w:pPr>
        <w:spacing w:line="520" w:lineRule="exact"/>
        <w:outlineLvl w:val="2"/>
        <w:rPr>
          <w:rFonts w:ascii="仿宋" w:hAnsi="仿宋" w:eastAsia="仿宋"/>
          <w:b/>
          <w:sz w:val="32"/>
          <w:szCs w:val="32"/>
        </w:rPr>
      </w:pPr>
      <w:bookmarkStart w:id="62" w:name="_Toc30449"/>
      <w:bookmarkStart w:id="63" w:name="_Toc30416"/>
      <w:r>
        <w:rPr>
          <w:rFonts w:hint="eastAsia" w:ascii="仿宋" w:hAnsi="仿宋" w:eastAsia="仿宋"/>
          <w:b/>
          <w:sz w:val="32"/>
          <w:szCs w:val="32"/>
        </w:rPr>
        <w:t>2.3.3数据收集与绩效评价实施过程</w:t>
      </w:r>
      <w:bookmarkEnd w:id="62"/>
      <w:bookmarkEnd w:id="63"/>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评价小组在工作方案指导下，开展绩效评价工作。广泛收集部门绩效相关资料并分析部门支出情况，采用访谈方法收集一手数据，通过对资料分析、研究、总结，对指标体系评分，得出部门取得的成绩，指出部门存在的问题，提出相关建议。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(1)工作方案策划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首先与委托方、预算单位等部门进行充分沟通与交流，制定绩效评价工作方案。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(2)资料收集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绩效评价组以绩效评价指标体系要求为基础进行资料收集，收集了部门整体支出绩效的各项资料，包括机构人员、职能职责、预算编制、工作计划、工作总结、工作流程、管理制度、检查监督、档案管理等。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(3)访谈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为更进一步了解部门整体支出的各项情况，我们开展访谈，对项目有关人员进行情况了解。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(4)分析研究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按照制定的绩效评价指标体系，根据以上收集的文献资料、访谈等，对各项绩效评价指标进行分析与评价。</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 (5)归纳总结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在充分调研、分析的基础上，对预算单位取得的成效与经验、存在的问题进行归纳总结，并提出相关建议。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(6)形成报告 </w:t>
      </w:r>
    </w:p>
    <w:p>
      <w:pPr>
        <w:spacing w:line="520" w:lineRule="exact"/>
        <w:ind w:firstLine="640" w:firstLineChars="200"/>
        <w:rPr>
          <w:rFonts w:hint="eastAsia" w:ascii="仿宋" w:hAnsi="仿宋" w:eastAsia="仿宋"/>
          <w:sz w:val="32"/>
          <w:szCs w:val="32"/>
        </w:rPr>
      </w:pPr>
      <w:r>
        <w:rPr>
          <w:rFonts w:hint="eastAsia" w:ascii="仿宋" w:hAnsi="仿宋" w:eastAsia="仿宋"/>
          <w:sz w:val="32"/>
          <w:szCs w:val="32"/>
        </w:rPr>
        <w:t>在资料收集、访谈、分析研究、归纳总结的基础上，编制报告初稿，并按照委托方的意见对报告进行修改，形成绩效评价最终报告。</w:t>
      </w:r>
    </w:p>
    <w:p>
      <w:pPr>
        <w:pStyle w:val="2"/>
      </w:pPr>
    </w:p>
    <w:p>
      <w:pPr>
        <w:spacing w:line="520" w:lineRule="exact"/>
        <w:outlineLvl w:val="0"/>
        <w:rPr>
          <w:rFonts w:ascii="仿宋" w:hAnsi="仿宋" w:eastAsia="仿宋" w:cs="仿宋"/>
          <w:b/>
          <w:sz w:val="32"/>
          <w:szCs w:val="32"/>
        </w:rPr>
      </w:pPr>
      <w:bookmarkStart w:id="64" w:name="_Toc15769"/>
      <w:bookmarkStart w:id="65" w:name="_Toc26369"/>
      <w:r>
        <w:rPr>
          <w:rFonts w:hint="eastAsia" w:ascii="仿宋" w:hAnsi="仿宋" w:eastAsia="仿宋" w:cs="仿宋"/>
          <w:b/>
          <w:sz w:val="32"/>
          <w:szCs w:val="32"/>
          <w:lang w:val="en-US" w:eastAsia="zh-CN"/>
        </w:rPr>
        <w:t>三</w:t>
      </w:r>
      <w:r>
        <w:rPr>
          <w:rFonts w:hint="eastAsia" w:ascii="仿宋" w:hAnsi="仿宋" w:eastAsia="仿宋" w:cs="仿宋"/>
          <w:b/>
          <w:sz w:val="32"/>
          <w:szCs w:val="32"/>
        </w:rPr>
        <w:t>、具体绩效分析</w:t>
      </w:r>
      <w:bookmarkEnd w:id="64"/>
      <w:bookmarkEnd w:id="65"/>
    </w:p>
    <w:p>
      <w:pPr>
        <w:spacing w:line="520" w:lineRule="exact"/>
        <w:outlineLvl w:val="1"/>
        <w:rPr>
          <w:rFonts w:ascii="仿宋" w:hAnsi="仿宋" w:eastAsia="仿宋" w:cs="仿宋"/>
          <w:b/>
          <w:sz w:val="32"/>
          <w:szCs w:val="32"/>
        </w:rPr>
      </w:pPr>
      <w:bookmarkStart w:id="66" w:name="_Toc21345"/>
      <w:bookmarkStart w:id="67" w:name="_Toc26962"/>
      <w:bookmarkStart w:id="68" w:name="_Toc23219"/>
      <w:r>
        <w:rPr>
          <w:rFonts w:hint="eastAsia" w:ascii="仿宋" w:hAnsi="仿宋" w:eastAsia="仿宋" w:cs="仿宋"/>
          <w:b/>
          <w:sz w:val="32"/>
          <w:szCs w:val="32"/>
        </w:rPr>
        <w:t>3.1投入指标类</w:t>
      </w:r>
      <w:bookmarkEnd w:id="66"/>
      <w:bookmarkEnd w:id="67"/>
      <w:bookmarkEnd w:id="68"/>
    </w:p>
    <w:p>
      <w:pPr>
        <w:spacing w:line="520" w:lineRule="exact"/>
        <w:ind w:firstLine="561"/>
        <w:rPr>
          <w:rFonts w:ascii="仿宋" w:hAnsi="仿宋" w:eastAsia="仿宋" w:cs="仿宋"/>
          <w:sz w:val="32"/>
          <w:szCs w:val="32"/>
        </w:rPr>
      </w:pPr>
      <w:r>
        <w:rPr>
          <w:rFonts w:hint="eastAsia" w:ascii="仿宋" w:hAnsi="仿宋" w:eastAsia="仿宋" w:cs="仿宋"/>
          <w:sz w:val="32"/>
          <w:szCs w:val="32"/>
        </w:rPr>
        <w:t>投入指标类由3个二级指标和7个三级指标构成，权重分为</w:t>
      </w:r>
      <w:r>
        <w:rPr>
          <w:rFonts w:hint="eastAsia" w:ascii="仿宋" w:hAnsi="仿宋" w:eastAsia="仿宋" w:cs="仿宋"/>
          <w:color w:val="000000" w:themeColor="text1"/>
          <w:sz w:val="32"/>
          <w:szCs w:val="32"/>
          <w14:textFill>
            <w14:solidFill>
              <w14:schemeClr w14:val="tx1"/>
            </w14:solidFill>
          </w14:textFill>
        </w:rPr>
        <w:t>15</w:t>
      </w:r>
      <w:r>
        <w:rPr>
          <w:rFonts w:hint="eastAsia" w:ascii="仿宋" w:hAnsi="仿宋" w:eastAsia="仿宋" w:cs="仿宋"/>
          <w:sz w:val="32"/>
          <w:szCs w:val="32"/>
        </w:rPr>
        <w:t>分，实际得分11分，得分率73.33%。</w:t>
      </w:r>
    </w:p>
    <w:p>
      <w:pPr>
        <w:spacing w:line="520" w:lineRule="exact"/>
        <w:ind w:firstLine="643" w:firstLineChars="200"/>
        <w:rPr>
          <w:rFonts w:ascii="仿宋" w:hAnsi="仿宋" w:eastAsia="仿宋" w:cs="仿宋"/>
          <w:b/>
          <w:sz w:val="32"/>
          <w:szCs w:val="32"/>
        </w:rPr>
      </w:pPr>
      <w:r>
        <w:rPr>
          <w:rFonts w:hint="eastAsia" w:ascii="仿宋" w:hAnsi="仿宋" w:eastAsia="仿宋" w:cs="仿宋"/>
          <w:b/>
          <w:sz w:val="32"/>
          <w:szCs w:val="32"/>
        </w:rPr>
        <w:t>A.投入指标</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主要考察预算编制的完整性、准确性和合理性，绩效目标设立是否细化、量化、明确，是否在保障职能履行的同时最大限度的控制行政成本。</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各指标业绩值和实际得分详见表3-1。</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表3-1 投入指标评分表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A1 预算编制</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A1.1 预算编制完整性</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A1.2 预算编制准确性</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A2 绩效目标</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A2.1 绩效指标明确性</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明确性、量化不足</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A2.2 绩效指标科学合理性</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科学合理性、匹配性不足</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A3 预算配置</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1950" w:firstLineChars="65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A3.1在职人员控制率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97.06%</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A3.2“三公经费”变动率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A3.3重点支出安排率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15</w:t>
            </w: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11</w:t>
            </w:r>
          </w:p>
        </w:tc>
      </w:tr>
    </w:tbl>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  预算编制</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A1.1预算编制完整性</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通过对比潭东镇镇政府公开的预算信息、预算表和财政部门批复的预算，可以看到相关预算编制完整、齐全。因此，预算编制完整性目标值实现。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jc w:val="left"/>
        <w:rPr>
          <w:rFonts w:ascii="仿宋" w:hAnsi="仿宋" w:eastAsia="仿宋"/>
          <w:sz w:val="32"/>
          <w:szCs w:val="32"/>
        </w:rPr>
      </w:pPr>
      <w:r>
        <w:rPr>
          <w:rFonts w:hint="eastAsia" w:ascii="仿宋" w:hAnsi="仿宋" w:eastAsia="仿宋" w:cs="仿宋"/>
          <w:sz w:val="32"/>
          <w:szCs w:val="32"/>
        </w:rPr>
        <w:t>A1.2预算编制准确性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通过对比潭东镇镇政府公开的预算信息、预算表和财政部门批复的预算，预算科目分类、列报准确。因此，预算编制准确性目标值实现。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A2绩效目标</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A2.1绩效指标明确性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2022年部门整体支出绩效目标表”共设置一级指标3个、二级指标9个、三级指标10个，在10个三级指标中有量化指标2个，量化比率为20%，其中“成本指标”为可量化指标未充分量化；在目标明确性方面，为产出成本设置的三级指标“严格项目经费单位支出，尤其涉及民生资金经费发放工作、严控办公经费支出、过好紧日子”过于泛化。因此，绩效指标明确性目标值未完全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该项指标满分3分，根据评分标准得1分。</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由于预算绩效管理工作还处于一个探索和学习的初级阶段，目标体系尚待健全，相关工作经验有待累积，是该指标业绩值不足的主要原因。</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A2.2 绩效指标科学合理性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2022年部门整体支出绩效目标表”设置的绩效目标依据部门职能和年度工作任务、计划确定，设置是有依据的；二级指标“经济效益指标”项下三级指标的设置不宜用作衡量经济效益，大部分三级指标的设置太过笼统、不够清晰、没有实际具体内容，绩效指标设置不够科学、合理，也无法体现与本年度部门预算资金的匹配性。因此，绩效指标科学合理性目标值未完全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该项指标满分3分，根据评分标准得1分。</w:t>
      </w:r>
    </w:p>
    <w:p>
      <w:pPr>
        <w:pStyle w:val="2"/>
        <w:spacing w:line="520" w:lineRule="exact"/>
        <w:ind w:firstLine="640"/>
        <w:rPr>
          <w:rFonts w:ascii="仿宋" w:hAnsi="仿宋" w:eastAsia="仿宋"/>
          <w:sz w:val="32"/>
          <w:szCs w:val="32"/>
          <w:highlight w:val="yellow"/>
        </w:rPr>
      </w:pPr>
      <w:r>
        <w:rPr>
          <w:rFonts w:hint="eastAsia" w:ascii="仿宋" w:hAnsi="仿宋" w:eastAsia="仿宋" w:cs="仿宋"/>
          <w:sz w:val="32"/>
          <w:szCs w:val="32"/>
        </w:rPr>
        <w:t>绩效指标设置科学合理，需要部门内多岗位联动，相关人员共同参与，结合部门预算、工作规划、工作任务和计划来综合确定，目标设置过程中的全系统参与不足、工作计划不完善、重视程度不够是该指标未能完全完成的主要原因。</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A3预算配置</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A3.1在职人员控制率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根据潭东镇镇政府提供的职能配置、机构设置和人员编制的相关文件资料，以及门户网站公开的信息，潭东镇镇政府核定编制68人，2022</w:t>
      </w:r>
      <w:r>
        <w:rPr>
          <w:rFonts w:hint="eastAsia" w:ascii="仿宋" w:hAnsi="仿宋" w:eastAsia="仿宋"/>
          <w:sz w:val="32"/>
          <w:szCs w:val="32"/>
        </w:rPr>
        <w:t>年末在职人数87人，</w:t>
      </w:r>
      <w:r>
        <w:rPr>
          <w:rFonts w:hint="eastAsia" w:ascii="仿宋" w:hAnsi="仿宋" w:eastAsia="仿宋" w:cs="仿宋"/>
          <w:sz w:val="32"/>
          <w:szCs w:val="32"/>
        </w:rPr>
        <w:t>其中以财政确定的部门决算编制口径的在职人员66人。在职人员控制率=（在职人员数/编制数）×100%=（66人/68人）×100%=97.06%。因此，在职人员控制率目标值实现。</w:t>
      </w:r>
    </w:p>
    <w:p>
      <w:pPr>
        <w:spacing w:line="520" w:lineRule="exact"/>
        <w:ind w:firstLine="640" w:firstLineChars="200"/>
        <w:jc w:val="left"/>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A3.2“三公经费”变动率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2021年度“三公经费”预算34万元，2022年度“三公经费”预算34万元，“三公经费”变动率=[（本年度“三公经费”总额-上年度“三公经费”总额）/上年度“三公经费”总额]×100%=[34万元-34万元）/34万元]×100%=0%。因此，“三公经费”变动率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A3.3重点支出安排率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潭东镇镇政府2022年度项目支出预算</w:t>
      </w:r>
      <w:r>
        <w:rPr>
          <w:rFonts w:hint="eastAsia" w:ascii="仿宋" w:hAnsi="仿宋" w:eastAsia="仿宋"/>
          <w:sz w:val="32"/>
          <w:szCs w:val="32"/>
        </w:rPr>
        <w:t>1190.65</w:t>
      </w:r>
      <w:r>
        <w:rPr>
          <w:rFonts w:hint="eastAsia" w:ascii="仿宋" w:hAnsi="仿宋" w:eastAsia="仿宋" w:cs="仿宋"/>
          <w:sz w:val="32"/>
          <w:szCs w:val="32"/>
        </w:rPr>
        <w:t>万元，均为潭东镇镇政府履职和发展密切相关、具有明显社会和经济影响、党委政府关心或社会比较关注的重点项目支出，重点支出安排率=（重点项目支出/项目总支出）×100%=（</w:t>
      </w:r>
      <w:r>
        <w:rPr>
          <w:rFonts w:hint="eastAsia" w:ascii="仿宋" w:hAnsi="仿宋" w:eastAsia="仿宋"/>
          <w:sz w:val="32"/>
          <w:szCs w:val="32"/>
        </w:rPr>
        <w:t>1190.65</w:t>
      </w:r>
      <w:r>
        <w:rPr>
          <w:rFonts w:hint="eastAsia" w:ascii="仿宋" w:hAnsi="仿宋" w:eastAsia="仿宋" w:cs="仿宋"/>
          <w:sz w:val="32"/>
          <w:szCs w:val="32"/>
        </w:rPr>
        <w:t>万元/</w:t>
      </w:r>
      <w:r>
        <w:rPr>
          <w:rFonts w:hint="eastAsia" w:ascii="仿宋" w:hAnsi="仿宋" w:eastAsia="仿宋"/>
          <w:sz w:val="32"/>
          <w:szCs w:val="32"/>
        </w:rPr>
        <w:t>1190.65</w:t>
      </w:r>
      <w:r>
        <w:rPr>
          <w:rFonts w:hint="eastAsia" w:ascii="仿宋" w:hAnsi="仿宋" w:eastAsia="仿宋" w:cs="仿宋"/>
          <w:sz w:val="32"/>
          <w:szCs w:val="32"/>
        </w:rPr>
        <w:t>万元）×100%=100%。因此，重点支出安排率目标值实现。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pStyle w:val="2"/>
        <w:spacing w:line="520" w:lineRule="exact"/>
        <w:ind w:firstLine="0" w:firstLineChars="0"/>
        <w:outlineLvl w:val="1"/>
        <w:rPr>
          <w:rFonts w:ascii="仿宋" w:hAnsi="仿宋" w:eastAsia="仿宋" w:cs="仿宋"/>
          <w:b/>
          <w:sz w:val="32"/>
          <w:szCs w:val="32"/>
        </w:rPr>
      </w:pPr>
      <w:bookmarkStart w:id="69" w:name="_Toc24468"/>
      <w:bookmarkStart w:id="70" w:name="_Toc22163"/>
      <w:bookmarkStart w:id="71" w:name="_Toc19807"/>
      <w:r>
        <w:rPr>
          <w:rFonts w:hint="eastAsia" w:ascii="仿宋" w:hAnsi="仿宋" w:eastAsia="仿宋" w:cs="仿宋"/>
          <w:b/>
          <w:sz w:val="32"/>
          <w:szCs w:val="32"/>
        </w:rPr>
        <w:t>3.2过程指标类</w:t>
      </w:r>
      <w:bookmarkEnd w:id="69"/>
      <w:bookmarkEnd w:id="70"/>
      <w:bookmarkEnd w:id="71"/>
    </w:p>
    <w:p>
      <w:pPr>
        <w:spacing w:line="520" w:lineRule="exact"/>
        <w:ind w:firstLine="561"/>
        <w:rPr>
          <w:rFonts w:ascii="仿宋" w:hAnsi="仿宋" w:eastAsia="仿宋" w:cs="仿宋"/>
          <w:sz w:val="32"/>
          <w:szCs w:val="32"/>
        </w:rPr>
      </w:pPr>
      <w:r>
        <w:rPr>
          <w:rFonts w:hint="eastAsia" w:ascii="仿宋" w:hAnsi="仿宋" w:eastAsia="仿宋" w:cs="仿宋"/>
          <w:sz w:val="32"/>
          <w:szCs w:val="32"/>
        </w:rPr>
        <w:t>过程指标类由3个二级指标和13个三级指标构成，权重分为</w:t>
      </w:r>
      <w:r>
        <w:rPr>
          <w:rFonts w:hint="eastAsia" w:ascii="仿宋" w:hAnsi="仿宋" w:eastAsia="仿宋" w:cs="仿宋"/>
          <w:color w:val="000000" w:themeColor="text1"/>
          <w:sz w:val="32"/>
          <w:szCs w:val="32"/>
          <w14:textFill>
            <w14:solidFill>
              <w14:schemeClr w14:val="tx1"/>
            </w14:solidFill>
          </w14:textFill>
        </w:rPr>
        <w:t>25</w:t>
      </w:r>
      <w:r>
        <w:rPr>
          <w:rFonts w:hint="eastAsia" w:ascii="仿宋" w:hAnsi="仿宋" w:eastAsia="仿宋" w:cs="仿宋"/>
          <w:sz w:val="32"/>
          <w:szCs w:val="32"/>
        </w:rPr>
        <w:t>分，实际得分17分，得分率68%。</w:t>
      </w:r>
    </w:p>
    <w:p>
      <w:pPr>
        <w:spacing w:line="520" w:lineRule="exact"/>
        <w:ind w:firstLine="643" w:firstLineChars="200"/>
        <w:rPr>
          <w:rFonts w:ascii="仿宋" w:hAnsi="仿宋" w:eastAsia="仿宋" w:cs="仿宋"/>
          <w:b/>
          <w:sz w:val="32"/>
          <w:szCs w:val="32"/>
        </w:rPr>
      </w:pPr>
      <w:r>
        <w:rPr>
          <w:rFonts w:hint="eastAsia" w:ascii="仿宋" w:hAnsi="仿宋" w:eastAsia="仿宋" w:cs="仿宋"/>
          <w:b/>
          <w:sz w:val="32"/>
          <w:szCs w:val="32"/>
        </w:rPr>
        <w:t>B.过程指标</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主要考察是否根据批复的预算和用途使用资金。预算执行过程中的管理、监督和核算以及资产管理、处置是否符合相关规定。</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各指标业绩值和实际得分详见表3-2。</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表3-2 过程指标评分表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97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B1 预算执行</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B1.1预算完成率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B1.2预算调整率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47.72%</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B1.3支付进度率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不确定</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B1.4公用经费控制率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98.24%</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B1.5“三公经费”控制率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13.44%</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B1.6政府采购执行率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69.74%</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B2 预算管理</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B2.1管理制度健全性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B2.2资金使用合规性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B2.3预决算信息公开性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B2.4财务信息完善性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B3 资产管理</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B3.1资产管理制度健全性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不确定</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B3.2 资产管理安全性</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不确定</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B3.3固定资产利用率</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25</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17</w:t>
            </w:r>
          </w:p>
        </w:tc>
      </w:tr>
    </w:tbl>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  预算执行</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B1.1 预算完成率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根据潭东镇镇政府决算公开中的预决算数据，2022年部门调整后的预算数3452.82万元，预算完成数</w:t>
      </w:r>
      <w:r>
        <w:rPr>
          <w:rFonts w:hint="eastAsia" w:ascii="仿宋" w:hAnsi="仿宋" w:eastAsia="仿宋"/>
          <w:spacing w:val="-6"/>
          <w:sz w:val="32"/>
          <w:szCs w:val="32"/>
        </w:rPr>
        <w:t>3452.82</w:t>
      </w:r>
      <w:r>
        <w:rPr>
          <w:rFonts w:hint="eastAsia" w:ascii="仿宋" w:hAnsi="仿宋" w:eastAsia="仿宋" w:cs="仿宋"/>
          <w:sz w:val="32"/>
          <w:szCs w:val="32"/>
        </w:rPr>
        <w:t>万元，预算完成率=（预算完成数/预算数）×100%=（</w:t>
      </w:r>
      <w:r>
        <w:rPr>
          <w:rFonts w:hint="eastAsia" w:ascii="仿宋" w:hAnsi="仿宋" w:eastAsia="仿宋"/>
          <w:spacing w:val="-6"/>
          <w:sz w:val="32"/>
          <w:szCs w:val="32"/>
        </w:rPr>
        <w:t>3452.82</w:t>
      </w:r>
      <w:r>
        <w:rPr>
          <w:rFonts w:hint="eastAsia" w:ascii="仿宋" w:hAnsi="仿宋" w:eastAsia="仿宋" w:cs="仿宋"/>
          <w:sz w:val="32"/>
          <w:szCs w:val="32"/>
        </w:rPr>
        <w:t>万元/</w:t>
      </w:r>
      <w:r>
        <w:rPr>
          <w:rFonts w:hint="eastAsia" w:ascii="仿宋" w:hAnsi="仿宋" w:eastAsia="仿宋"/>
          <w:spacing w:val="-6"/>
          <w:sz w:val="32"/>
          <w:szCs w:val="32"/>
        </w:rPr>
        <w:t>3452.82</w:t>
      </w:r>
      <w:r>
        <w:rPr>
          <w:rFonts w:hint="eastAsia" w:ascii="仿宋" w:hAnsi="仿宋" w:eastAsia="仿宋" w:cs="仿宋"/>
          <w:sz w:val="32"/>
          <w:szCs w:val="32"/>
        </w:rPr>
        <w:t>万元）×100%=100%。因此，预算完成率目标值实现。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B1.2预算调整率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潭东镇镇政府决算公开中的预决算数据，2022年部门年初预算数2337.41万元，调整后的预算数3452.82万元，预算调整数1115.41万元，预算调整率=（预算调整数/预算数）×100%=（1115.41万元/2337.41万元）×100%=47.72%。因此，预算调整率目标值没有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该项指标满分2分，根据评分标准得0分。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B1.3支付进度率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潭东镇镇政府未能提供评价其整体预算执行及时性、均衡性的必要资料和数据。因此，支付进度率业绩值无法确定。</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该项指标满分2分，根据评分标准得0分。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B1.4公用经费控制率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2022年公用经费预算数128.99万元，实际支出公用经费126.70万元，公用经费控制率=（实际支出公用经费总额/预算安排公用经费总额）×100%=（126.70万元/128.99万元）=98.24%。因此，公用经费控制率目标值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B1.5“三公经费”控制率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2022年“三公经费”预算数34万元，实际支出“三公经费”4.57万元，“三公经费”控制率=（“三公经费”实际支出数/“三公经费”预算安排数）×100%=（4.57万元/34万元）=13.44%。因此，“三公经费”控制率目标值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B1.6政府采购执行率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潭东镇镇政府2022年政府采购预算数50万元，实际政府采购金额34.87万元，政府采购执行率=（实际政府采购金额/政府采购预算数）×100%=（34.87万元/50万元）=69.74%。因此，政府采购执行率目标值没有实现。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该项指标满分2分，根据评分标准得0分。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B2预算管理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B2.1 管理制度健全性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潭东镇镇政府提交了相关预算资金管理办法、内部财务管理制度、会计核算制度等管理制度，制度较为健全。因此，管理制度健全性业绩值目标已实现。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B2.2资金使用合规性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根据现有资料，未见资金使用不合规的情况。因此，资金使用合规性目标值实现。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B2.3预决算信息公开性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通过政府门户网站查询，潭东镇镇政府于2021年4月1日按规定公开了部门预算、预算绩效公开表和预算公开说明、于2022年9月25日公开了部门决算情况。根据现有资料，我们认为潭东镇镇政府预决算信息公开符合相关规定。因此，预决算信息公开性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B2.4财务信息完善性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根据现有资料，未见财务信息存在不真实、不完整的情况。因此，资金使用合规性目标值实现。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B3预算管理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B3.1 资产管理制度健全性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潭东镇镇政府提供了部分本次评价期间相关的资产管理制度。资产管理制度健全性业绩值没有完全实现。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该项指标满分2分，根据评分标准得1分。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B3.2资产管理安全性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潭东镇镇政府提供了部分相关资产保存、配置和处置的相关资料。根据访谈中相关人员介绍，2022年度潭东镇镇政府没有进行资产盘查。因此，资产管理安全性业绩值未完全实现。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该项指标满分2分，根据评分标准得1分。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B3.3固定资产利用率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根据潭东镇镇政府提供的资料，所有固定资产均在使用，无闲置。因此，固定资产利用率业绩值已实现。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spacing w:line="520" w:lineRule="exact"/>
        <w:outlineLvl w:val="1"/>
        <w:rPr>
          <w:rFonts w:ascii="仿宋" w:hAnsi="仿宋" w:eastAsia="仿宋" w:cs="仿宋"/>
          <w:b/>
          <w:sz w:val="32"/>
          <w:szCs w:val="32"/>
        </w:rPr>
      </w:pPr>
      <w:bookmarkStart w:id="72" w:name="_Toc29177"/>
      <w:bookmarkStart w:id="73" w:name="_Toc19230"/>
      <w:bookmarkStart w:id="74" w:name="_Toc29993"/>
      <w:r>
        <w:rPr>
          <w:rFonts w:hint="eastAsia" w:ascii="仿宋" w:hAnsi="仿宋" w:eastAsia="仿宋" w:cs="仿宋"/>
          <w:b/>
          <w:sz w:val="32"/>
          <w:szCs w:val="32"/>
        </w:rPr>
        <w:t>3.3产出指标类</w:t>
      </w:r>
      <w:bookmarkEnd w:id="72"/>
      <w:bookmarkEnd w:id="73"/>
      <w:bookmarkEnd w:id="74"/>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产出指标类由4个二级指标和4个三级指标构成，权重分为32分，实际得分30分，得分率93.75%。</w:t>
      </w:r>
    </w:p>
    <w:p>
      <w:pPr>
        <w:spacing w:line="52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C.产出指标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主要考察部门整体支出从数量、质量、时效和成本四个维度的达标情况，实现绩效既定目标的程度。</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各指标业绩值和实际得分详见表3-3。</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表3-3 产出指标评分表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指标</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权重</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vAlign w:val="center"/>
          </w:tcPr>
          <w:p>
            <w:pPr>
              <w:spacing w:line="520" w:lineRule="exact"/>
              <w:jc w:val="center"/>
              <w:rPr>
                <w:rFonts w:hint="eastAsia" w:ascii="仿宋" w:hAnsi="仿宋" w:eastAsia="仿宋" w:cs="仿宋"/>
                <w:kern w:val="0"/>
                <w:sz w:val="30"/>
                <w:szCs w:val="30"/>
              </w:rPr>
            </w:pPr>
            <w:r>
              <w:rPr>
                <w:rFonts w:hint="eastAsia" w:ascii="仿宋" w:hAnsi="仿宋" w:eastAsia="仿宋" w:cs="仿宋"/>
                <w:kern w:val="0"/>
                <w:sz w:val="30"/>
                <w:szCs w:val="30"/>
              </w:rPr>
              <w:t>实际</w:t>
            </w:r>
          </w:p>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C1数量指标</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C1.1工作任务完成率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C2质量指标</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C2.1工作质量合格率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91.67%</w:t>
            </w:r>
          </w:p>
        </w:tc>
        <w:tc>
          <w:tcPr>
            <w:tcW w:w="1228"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C3时效指标</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C3.1资金拨付及时率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C4成本指标</w:t>
            </w:r>
          </w:p>
        </w:tc>
        <w:tc>
          <w:tcPr>
            <w:tcW w:w="1174" w:type="dxa"/>
            <w:vAlign w:val="center"/>
          </w:tcPr>
          <w:p>
            <w:pPr>
              <w:spacing w:line="520" w:lineRule="exact"/>
              <w:ind w:firstLine="360"/>
              <w:jc w:val="center"/>
              <w:rPr>
                <w:rFonts w:ascii="仿宋" w:hAnsi="仿宋" w:eastAsia="仿宋" w:cs="仿宋"/>
                <w:kern w:val="0"/>
                <w:sz w:val="30"/>
                <w:szCs w:val="30"/>
              </w:rPr>
            </w:pP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C4.1成本控制率</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32</w:t>
            </w:r>
          </w:p>
        </w:tc>
        <w:tc>
          <w:tcPr>
            <w:tcW w:w="1973" w:type="dxa"/>
            <w:vAlign w:val="center"/>
          </w:tcPr>
          <w:p>
            <w:pPr>
              <w:spacing w:line="520" w:lineRule="exact"/>
              <w:ind w:firstLine="360"/>
              <w:jc w:val="center"/>
              <w:rPr>
                <w:rFonts w:ascii="仿宋" w:hAnsi="仿宋" w:eastAsia="仿宋" w:cs="仿宋"/>
                <w:kern w:val="0"/>
                <w:sz w:val="30"/>
                <w:szCs w:val="30"/>
              </w:rPr>
            </w:pPr>
          </w:p>
        </w:tc>
        <w:tc>
          <w:tcPr>
            <w:tcW w:w="1228"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30</w:t>
            </w:r>
          </w:p>
        </w:tc>
      </w:tr>
    </w:tbl>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C1数量指标</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C1.1工作任务完成率</w:t>
      </w:r>
    </w:p>
    <w:p>
      <w:pPr>
        <w:widowControl/>
        <w:spacing w:line="54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根据潭东镇镇政府2022年工作计划，本年度任务分为5个方面、12个具体方向的工作。实际完成率=（实际完成工作数/计划工作数）×100%=（12/12）×100%=100%。因此，工作任务完成率目标值未完全实现。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该项指标满分8分，根据评分标准得7分。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C2质量指标</w:t>
      </w:r>
    </w:p>
    <w:p>
      <w:pPr>
        <w:spacing w:line="540" w:lineRule="exact"/>
        <w:ind w:firstLine="640" w:firstLineChars="200"/>
        <w:rPr>
          <w:rFonts w:ascii="仿宋" w:hAnsi="仿宋" w:eastAsia="仿宋" w:cs="仿宋"/>
          <w:sz w:val="32"/>
          <w:szCs w:val="32"/>
          <w:highlight w:val="yellow"/>
        </w:rPr>
      </w:pPr>
      <w:r>
        <w:rPr>
          <w:rFonts w:hint="eastAsia" w:ascii="仿宋" w:hAnsi="仿宋" w:eastAsia="仿宋" w:cs="仿宋"/>
          <w:sz w:val="32"/>
          <w:szCs w:val="32"/>
        </w:rPr>
        <w:t>C2.1工作质量合格率</w:t>
      </w:r>
    </w:p>
    <w:p>
      <w:pPr>
        <w:widowControl/>
        <w:spacing w:line="54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根据潭东镇镇政府2022年工作计划，本年度任务分为5个方面、12个具体方向的工作。质量合格率=（合格工作数/计划工作数）×100%=（11/12个）×100%=91.67%。因此，工作质量合格率目标值未完全实现。</w:t>
      </w:r>
    </w:p>
    <w:p>
      <w:pPr>
        <w:widowControl/>
        <w:spacing w:line="54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该项指标满分8分，根据评分标准得6分。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C3时效指标</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C3.1资金拨付及时率</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潭东镇镇政府2022年设置了“按时完成各项资金任务发放”的时限目标。拨付及时率=（实际按时限拨付资金任务数/应按时拨付资金任务数）×100%=（12/12）×100%=100%。因此，资金拨付及时率目标值已实现。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C4成本指标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C4.1成本控制率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根据决算公开信息，项目全年调整后预算数1345.50万元，项目全年执行数1345.50万元。成本控制率=（项目预算执行数/项目预算计划数）×100%=（</w:t>
      </w:r>
      <w:r>
        <w:rPr>
          <w:rFonts w:hint="eastAsia" w:ascii="仿宋" w:hAnsi="仿宋" w:eastAsia="仿宋"/>
          <w:sz w:val="32"/>
          <w:szCs w:val="32"/>
        </w:rPr>
        <w:t>1345.50</w:t>
      </w:r>
      <w:r>
        <w:rPr>
          <w:rFonts w:hint="eastAsia" w:ascii="仿宋" w:hAnsi="仿宋" w:eastAsia="仿宋" w:cs="仿宋"/>
          <w:sz w:val="32"/>
          <w:szCs w:val="32"/>
        </w:rPr>
        <w:t>万元/</w:t>
      </w:r>
      <w:r>
        <w:rPr>
          <w:rFonts w:hint="eastAsia" w:ascii="仿宋" w:hAnsi="仿宋" w:eastAsia="仿宋"/>
          <w:sz w:val="32"/>
          <w:szCs w:val="32"/>
        </w:rPr>
        <w:t>1345.50</w:t>
      </w:r>
      <w:r>
        <w:rPr>
          <w:rFonts w:hint="eastAsia" w:ascii="仿宋" w:hAnsi="仿宋" w:eastAsia="仿宋" w:cs="仿宋"/>
          <w:sz w:val="32"/>
          <w:szCs w:val="32"/>
        </w:rPr>
        <w:t>万元）×100%=100%。因此，成本控制率目标值已实现。</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60" w:lineRule="exact"/>
        <w:outlineLvl w:val="1"/>
        <w:rPr>
          <w:rFonts w:ascii="仿宋" w:hAnsi="仿宋" w:eastAsia="仿宋" w:cs="仿宋"/>
          <w:b/>
          <w:sz w:val="32"/>
          <w:szCs w:val="32"/>
        </w:rPr>
      </w:pPr>
      <w:bookmarkStart w:id="75" w:name="_Toc815"/>
      <w:bookmarkStart w:id="76" w:name="_Toc17597"/>
      <w:bookmarkStart w:id="77" w:name="_Toc20463"/>
      <w:r>
        <w:rPr>
          <w:rFonts w:hint="eastAsia" w:ascii="仿宋" w:hAnsi="仿宋" w:eastAsia="仿宋" w:cs="仿宋"/>
          <w:b/>
          <w:sz w:val="32"/>
          <w:szCs w:val="32"/>
        </w:rPr>
        <w:t>3.4效果指标类</w:t>
      </w:r>
      <w:bookmarkEnd w:id="75"/>
      <w:bookmarkEnd w:id="76"/>
      <w:bookmarkEnd w:id="77"/>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效果指标类由2个二级指标和4个三级指标构成，权重分为28分，实际得分26.5分，得分率94.64%。</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D.效果指标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主要考察部门整体支出产生的经济效益和社会效益，服务对象的获益程度和满意度，评价项目的可持续影响。</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各指标业绩值和实际得分详见表3-4。</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表3-4 效果指标评分表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973" w:type="dxa"/>
          </w:tcPr>
          <w:p>
            <w:pPr>
              <w:spacing w:line="520" w:lineRule="exact"/>
              <w:ind w:firstLine="360"/>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D1 履职效益</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D1.1经济效益</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97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D1.2社会效益</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973" w:type="dxa"/>
            <w:vAlign w:val="center"/>
          </w:tcPr>
          <w:p>
            <w:pPr>
              <w:spacing w:line="520" w:lineRule="exact"/>
              <w:ind w:firstLine="900" w:firstLineChars="300"/>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D1.3可持续影响</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973" w:type="dxa"/>
            <w:vAlign w:val="center"/>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制度体系建设滞后</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D2 满意度</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D2.1 服务对象满意度</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w:t>
            </w:r>
          </w:p>
        </w:tc>
        <w:tc>
          <w:tcPr>
            <w:tcW w:w="197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91.25%</w:t>
            </w: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28</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26.5</w:t>
            </w:r>
          </w:p>
        </w:tc>
      </w:tr>
    </w:tbl>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 履职效益</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D11经济效益</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部门整体支出产出的经济效益总体较好，经济效益目标值基本实现。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该项指标满分6分，根据评分标准得6分。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D12社会效益</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部门整体支出产出的社会效益总体较好，经济效益目标值基本实现。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该项指标满分6分，根据评分标准得4.5分。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D13可持续影响</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部门整体支出产出的可持续影响总体较好，经济效益目标值基本实现取得诸多工作成效的同时，在强化单位自身建设工作方面，存在制度体系建设相对滞后的不足，在一定程度上，对部门履职能力的提升带来不利影响。因此，可持续影响目标值未完全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该项指标满分6分，根据评分标准得4.5分。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D2 满意度</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D21 服务对象满意度</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经评价小组与潭东镇镇政府商定，以潭东镇镇政府的服务对象满意度调查结果为参考，目标值设定为服务对象满意度≥90%，以该调查结果作为部门整体支出满意度指标的衡量依据。该项指标通过向服务对象做满意度调查，设置问题是“您对2022年潭东镇镇政府的服务总体上满意吗？”。满意度=（选择“非常满意”样本数+“满意”样本数×0.9+“一般”样本数 ×0.6+“不满意”样本数×0.3+“很不满意”样本数×0）/总样本数×100%=（44+35×0.9+8×0.6+0×0.3+1×0）/88×100%=91.25%。</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因此，评价认为项目满意度指标实现目标值。</w:t>
      </w:r>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该项指标满分10分，根据评分标准得 10分。</w:t>
      </w:r>
    </w:p>
    <w:p>
      <w:pPr>
        <w:pStyle w:val="2"/>
        <w:spacing w:line="520" w:lineRule="exact"/>
        <w:ind w:firstLine="640"/>
        <w:rPr>
          <w:rFonts w:hint="eastAsia" w:ascii="仿宋" w:hAnsi="仿宋" w:eastAsia="仿宋" w:cs="仿宋"/>
          <w:sz w:val="32"/>
          <w:szCs w:val="32"/>
        </w:rPr>
      </w:pPr>
    </w:p>
    <w:p>
      <w:pPr>
        <w:numPr>
          <w:ilvl w:val="0"/>
          <w:numId w:val="0"/>
        </w:numPr>
        <w:spacing w:line="520" w:lineRule="exact"/>
        <w:outlineLvl w:val="0"/>
        <w:rPr>
          <w:rFonts w:ascii="仿宋" w:hAnsi="仿宋" w:eastAsia="仿宋" w:cs="仿宋"/>
          <w:b/>
          <w:sz w:val="32"/>
          <w:szCs w:val="32"/>
        </w:rPr>
      </w:pPr>
      <w:bookmarkStart w:id="78" w:name="_Toc1375"/>
      <w:bookmarkStart w:id="79" w:name="_Toc2389"/>
      <w:r>
        <w:rPr>
          <w:rFonts w:hint="eastAsia" w:ascii="仿宋" w:hAnsi="仿宋" w:eastAsia="仿宋" w:cs="仿宋"/>
          <w:b/>
          <w:sz w:val="32"/>
          <w:szCs w:val="32"/>
          <w:lang w:val="en-US" w:eastAsia="zh-CN"/>
        </w:rPr>
        <w:t>四、</w:t>
      </w:r>
      <w:r>
        <w:rPr>
          <w:rFonts w:hint="eastAsia" w:ascii="仿宋" w:hAnsi="仿宋" w:eastAsia="仿宋" w:cs="仿宋"/>
          <w:b/>
          <w:sz w:val="32"/>
          <w:szCs w:val="32"/>
        </w:rPr>
        <w:t>绩效评价结论</w:t>
      </w:r>
      <w:bookmarkEnd w:id="78"/>
      <w:bookmarkEnd w:id="79"/>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本次评价在资料查阅、现场调研及访谈基础上，对赣州蓉江新区潭东镇镇政府2022年度部门整体支出绩效进行逐项打分、客观评价，等级设为四档：90（含）-100分为优、80（含）-90分为良、60（含）-80分为中等、60分以下为差。最终评分结果：</w:t>
      </w:r>
      <w:bookmarkStart w:id="80" w:name="_Toc1207"/>
      <w:bookmarkStart w:id="81" w:name="_Toc30724"/>
      <w:r>
        <w:rPr>
          <w:rFonts w:hint="eastAsia" w:ascii="仿宋" w:hAnsi="仿宋" w:eastAsia="仿宋" w:cs="仿宋"/>
          <w:sz w:val="32"/>
          <w:szCs w:val="32"/>
        </w:rPr>
        <w:t>总得分为 84.5分，绩效评级为“良”。</w:t>
      </w:r>
    </w:p>
    <w:p>
      <w:pPr>
        <w:spacing w:line="52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3"/>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371"/>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指标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A.投入指标</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B.过程指标</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C.产出指标</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D.效果指标</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权重</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25</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28</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分值</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11</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17</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30</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26.5</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4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得分率</w:t>
            </w:r>
          </w:p>
        </w:tc>
        <w:tc>
          <w:tcPr>
            <w:tcW w:w="1371"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73.33%</w:t>
            </w:r>
          </w:p>
        </w:tc>
        <w:tc>
          <w:tcPr>
            <w:tcW w:w="1719"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68%</w:t>
            </w:r>
          </w:p>
        </w:tc>
        <w:tc>
          <w:tcPr>
            <w:tcW w:w="1594"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93.75%</w:t>
            </w:r>
          </w:p>
        </w:tc>
        <w:tc>
          <w:tcPr>
            <w:tcW w:w="1482"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94.64%</w:t>
            </w:r>
          </w:p>
        </w:tc>
        <w:tc>
          <w:tcPr>
            <w:tcW w:w="1250" w:type="dxa"/>
            <w:vAlign w:val="center"/>
          </w:tcPr>
          <w:p>
            <w:pPr>
              <w:spacing w:line="520" w:lineRule="exact"/>
              <w:jc w:val="center"/>
              <w:rPr>
                <w:rFonts w:ascii="仿宋" w:hAnsi="仿宋" w:eastAsia="仿宋" w:cs="仿宋"/>
                <w:kern w:val="0"/>
                <w:sz w:val="32"/>
                <w:szCs w:val="32"/>
              </w:rPr>
            </w:pPr>
            <w:r>
              <w:rPr>
                <w:rFonts w:hint="eastAsia" w:ascii="仿宋" w:hAnsi="仿宋" w:eastAsia="仿宋" w:cs="仿宋"/>
                <w:kern w:val="0"/>
                <w:sz w:val="32"/>
                <w:szCs w:val="32"/>
              </w:rPr>
              <w:t>84.5%</w:t>
            </w:r>
          </w:p>
        </w:tc>
      </w:tr>
    </w:tbl>
    <w:p>
      <w:pPr>
        <w:pStyle w:val="2"/>
        <w:spacing w:line="520" w:lineRule="exact"/>
        <w:ind w:firstLine="643"/>
        <w:rPr>
          <w:rFonts w:hint="eastAsia" w:ascii="仿宋" w:hAnsi="仿宋" w:eastAsia="仿宋" w:cs="仿宋"/>
          <w:b/>
          <w:sz w:val="32"/>
          <w:szCs w:val="32"/>
        </w:rPr>
      </w:pPr>
    </w:p>
    <w:p>
      <w:pPr>
        <w:pStyle w:val="2"/>
        <w:spacing w:line="520" w:lineRule="exact"/>
        <w:ind w:left="0" w:leftChars="0" w:firstLine="0" w:firstLineChars="0"/>
        <w:outlineLvl w:val="0"/>
        <w:rPr>
          <w:rFonts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、存在的问题和建议</w:t>
      </w:r>
      <w:bookmarkEnd w:id="80"/>
      <w:bookmarkEnd w:id="81"/>
    </w:p>
    <w:p>
      <w:pPr>
        <w:spacing w:line="520" w:lineRule="exact"/>
        <w:outlineLvl w:val="1"/>
        <w:rPr>
          <w:rFonts w:ascii="仿宋" w:hAnsi="仿宋" w:eastAsia="仿宋" w:cs="仿宋"/>
          <w:b/>
          <w:sz w:val="32"/>
          <w:szCs w:val="32"/>
        </w:rPr>
      </w:pPr>
      <w:bookmarkStart w:id="82" w:name="_Toc5351"/>
      <w:bookmarkStart w:id="83" w:name="_Toc17409"/>
      <w:r>
        <w:rPr>
          <w:rFonts w:hint="eastAsia" w:ascii="仿宋" w:hAnsi="仿宋" w:eastAsia="仿宋" w:cs="仿宋"/>
          <w:b/>
          <w:sz w:val="32"/>
          <w:szCs w:val="32"/>
        </w:rPr>
        <w:t>5.1存在的问题</w:t>
      </w:r>
      <w:bookmarkEnd w:id="82"/>
      <w:bookmarkEnd w:id="83"/>
    </w:p>
    <w:p>
      <w:pPr>
        <w:spacing w:line="520" w:lineRule="exact"/>
        <w:jc w:val="left"/>
        <w:outlineLvl w:val="2"/>
        <w:rPr>
          <w:rFonts w:ascii="仿宋" w:hAnsi="仿宋" w:eastAsia="仿宋" w:cs="仿宋"/>
          <w:b/>
          <w:sz w:val="32"/>
          <w:szCs w:val="32"/>
        </w:rPr>
      </w:pPr>
      <w:bookmarkStart w:id="84" w:name="_Toc6617"/>
      <w:bookmarkStart w:id="85" w:name="_Toc10162"/>
      <w:r>
        <w:rPr>
          <w:rFonts w:hint="eastAsia" w:ascii="仿宋" w:hAnsi="仿宋" w:eastAsia="仿宋" w:cs="仿宋"/>
          <w:b/>
          <w:sz w:val="32"/>
          <w:szCs w:val="32"/>
        </w:rPr>
        <w:t>5.1.1预算绩效目标管理工作方面存在不足</w:t>
      </w:r>
      <w:bookmarkEnd w:id="84"/>
      <w:bookmarkEnd w:id="85"/>
    </w:p>
    <w:p>
      <w:pPr>
        <w:spacing w:line="520" w:lineRule="exact"/>
        <w:ind w:firstLine="573"/>
        <w:jc w:val="left"/>
        <w:rPr>
          <w:rFonts w:hint="eastAsia" w:ascii="仿宋" w:hAnsi="仿宋" w:eastAsia="仿宋" w:cs="仿宋"/>
          <w:sz w:val="32"/>
          <w:szCs w:val="32"/>
        </w:rPr>
      </w:pPr>
      <w:r>
        <w:rPr>
          <w:rFonts w:hint="eastAsia" w:ascii="仿宋" w:hAnsi="仿宋" w:eastAsia="仿宋" w:cs="仿宋"/>
          <w:sz w:val="32"/>
          <w:szCs w:val="32"/>
        </w:rPr>
        <w:t>绩效目标管理工作有待改善，存在绩效指标设立明确性不足、量化不足、科学合理性不够的情形。比照《赣州市预算绩效管理暂行办法》第四章第十一条“编报的绩效目标要能清晰反映项目决策、项目和资金管理、产出和效益；指标内涵应当明确、具体、可衡量，指标值应当科学合理、符合标准”的文件要求，潭东镇镇政府设置的“成本指标”为可量化指标未充分量化；在目标明确性方面，为产出成本设置的三级指标“严格项目经费支出，尤其涉及民生资金经费支出”过于泛化。同时，部分指标设置不合理，也无法体现与本年度部门预算资金的匹配性。</w:t>
      </w:r>
    </w:p>
    <w:p>
      <w:pPr>
        <w:pStyle w:val="2"/>
      </w:pPr>
    </w:p>
    <w:p>
      <w:pPr>
        <w:pStyle w:val="2"/>
        <w:spacing w:line="520" w:lineRule="exact"/>
        <w:ind w:firstLine="0" w:firstLineChars="0"/>
        <w:outlineLvl w:val="2"/>
        <w:rPr>
          <w:rFonts w:ascii="仿宋" w:hAnsi="仿宋" w:eastAsia="仿宋" w:cs="仿宋"/>
          <w:b/>
          <w:sz w:val="32"/>
          <w:szCs w:val="32"/>
        </w:rPr>
      </w:pPr>
      <w:bookmarkStart w:id="86" w:name="_Toc2545"/>
      <w:bookmarkStart w:id="87" w:name="_Toc20388"/>
      <w:r>
        <w:rPr>
          <w:rFonts w:hint="eastAsia" w:ascii="仿宋" w:hAnsi="仿宋" w:eastAsia="仿宋" w:cs="仿宋"/>
          <w:b/>
          <w:sz w:val="32"/>
          <w:szCs w:val="32"/>
        </w:rPr>
        <w:t>5.1.2预算绩效运行监控管理工作方面有待提高</w:t>
      </w:r>
      <w:bookmarkEnd w:id="86"/>
      <w:bookmarkEnd w:id="87"/>
    </w:p>
    <w:p>
      <w:pPr>
        <w:widowControl/>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根据《赣州市预算绩效管理暂行办法》第五章第十六条“绩效监控是指在预算执行过程中，预算部门（单位）依照职责，对预算执行情况和绩效目标实现程度开展的监督、 控制和管理活动。”、第十七条 “按照“谁支出，谁负责”的原则，各部门（单位）负责开展预算绩效日常监控，并定期对绩效监控信息进行收集、审核、分析、汇总、填报；分析偏离绩效目标的原因，并及时采取纠偏措施。”的规定，潭东镇镇政府在预算执行过程中，存在一定的对项目支出监控不够细致、监控信息收集不够全面的情况。</w:t>
      </w:r>
    </w:p>
    <w:p>
      <w:pPr>
        <w:pStyle w:val="2"/>
      </w:pPr>
    </w:p>
    <w:p>
      <w:pPr>
        <w:pStyle w:val="2"/>
        <w:spacing w:line="520" w:lineRule="exact"/>
        <w:ind w:firstLine="0" w:firstLineChars="0"/>
        <w:outlineLvl w:val="2"/>
        <w:rPr>
          <w:rFonts w:ascii="仿宋" w:hAnsi="仿宋" w:eastAsia="仿宋" w:cs="仿宋"/>
          <w:b/>
          <w:sz w:val="32"/>
          <w:szCs w:val="32"/>
        </w:rPr>
      </w:pPr>
      <w:bookmarkStart w:id="88" w:name="_Toc25995"/>
      <w:bookmarkStart w:id="89" w:name="_Toc7827"/>
      <w:r>
        <w:rPr>
          <w:rFonts w:hint="eastAsia" w:ascii="仿宋" w:hAnsi="仿宋" w:eastAsia="仿宋" w:cs="仿宋"/>
          <w:b/>
          <w:sz w:val="32"/>
          <w:szCs w:val="32"/>
        </w:rPr>
        <w:t>5.1.3预算绩效评价管理工作方面有待完善</w:t>
      </w:r>
      <w:bookmarkEnd w:id="88"/>
      <w:bookmarkEnd w:id="89"/>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存在评价结果与预设目标不对应，部分评价数据不明确、不具体，部分评价依据不充分的情形。比照《赣州市预算绩效管理暂行办法》第六章第二十一条“绩效评价是依据设定的绩效目标，对财政支出的经济性、效率性、效益性和公平性进行客观、公正的测量、分析和评判”的规定，潭东镇镇政府未能提供整体支出绩效自评表，自评报告显示结果与预设绩效目标不匹配对应，显示的部分可量化业绩值未取得确定的数据，部分量化业绩值未提供数据来源或无法提供佐证资料。</w:t>
      </w:r>
    </w:p>
    <w:p>
      <w:pPr>
        <w:pStyle w:val="2"/>
        <w:spacing w:line="520" w:lineRule="exact"/>
        <w:ind w:firstLine="640"/>
        <w:rPr>
          <w:rFonts w:hint="eastAsia" w:ascii="仿宋" w:hAnsi="仿宋" w:eastAsia="仿宋" w:cs="仿宋"/>
          <w:sz w:val="32"/>
          <w:szCs w:val="32"/>
        </w:rPr>
      </w:pPr>
    </w:p>
    <w:p>
      <w:pPr>
        <w:pStyle w:val="2"/>
        <w:spacing w:line="520" w:lineRule="exact"/>
        <w:ind w:firstLine="0" w:firstLineChars="0"/>
        <w:outlineLvl w:val="2"/>
        <w:rPr>
          <w:rFonts w:ascii="仿宋" w:hAnsi="仿宋" w:eastAsia="仿宋" w:cs="仿宋"/>
          <w:b/>
          <w:sz w:val="32"/>
          <w:szCs w:val="32"/>
        </w:rPr>
      </w:pPr>
      <w:bookmarkStart w:id="90" w:name="_Toc15951"/>
      <w:bookmarkStart w:id="91" w:name="_Toc19678"/>
      <w:r>
        <w:rPr>
          <w:rFonts w:hint="eastAsia" w:ascii="仿宋" w:hAnsi="仿宋" w:eastAsia="仿宋" w:cs="仿宋"/>
          <w:b/>
          <w:sz w:val="32"/>
          <w:szCs w:val="32"/>
        </w:rPr>
        <w:t>5.1.4管理制度体系有待完善、制度执行有待加强</w:t>
      </w:r>
      <w:bookmarkEnd w:id="90"/>
      <w:bookmarkEnd w:id="91"/>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潭东镇镇政府提供了部门财务管理制度，制度涵盖了资金管理、收入管理、支出管理和资产管理等各个方面，制度的细化程度略显不足；在资产管理方面，未切实执行如定期资产盘点等保障资产安全性、提高资产使用效率的相关制度。</w:t>
      </w:r>
    </w:p>
    <w:p>
      <w:pPr>
        <w:pStyle w:val="2"/>
        <w:spacing w:line="520" w:lineRule="exact"/>
        <w:ind w:firstLine="640"/>
        <w:rPr>
          <w:rFonts w:hint="eastAsia" w:ascii="仿宋" w:hAnsi="仿宋" w:eastAsia="仿宋" w:cs="仿宋"/>
          <w:sz w:val="32"/>
          <w:szCs w:val="32"/>
        </w:rPr>
      </w:pPr>
    </w:p>
    <w:p>
      <w:pPr>
        <w:spacing w:line="520" w:lineRule="exact"/>
        <w:outlineLvl w:val="1"/>
        <w:rPr>
          <w:rFonts w:ascii="仿宋" w:hAnsi="仿宋" w:eastAsia="仿宋" w:cs="仿宋"/>
          <w:b/>
          <w:sz w:val="32"/>
          <w:szCs w:val="32"/>
        </w:rPr>
      </w:pPr>
      <w:bookmarkStart w:id="92" w:name="_Toc27799"/>
      <w:bookmarkStart w:id="93" w:name="_Toc7648"/>
      <w:r>
        <w:rPr>
          <w:rFonts w:hint="eastAsia" w:ascii="仿宋" w:hAnsi="仿宋" w:eastAsia="仿宋" w:cs="仿宋"/>
          <w:b/>
          <w:sz w:val="32"/>
          <w:szCs w:val="32"/>
        </w:rPr>
        <w:t>5.2改进措施和建议</w:t>
      </w:r>
      <w:bookmarkEnd w:id="92"/>
      <w:bookmarkEnd w:id="93"/>
    </w:p>
    <w:p>
      <w:pPr>
        <w:spacing w:line="520" w:lineRule="exact"/>
        <w:outlineLvl w:val="2"/>
        <w:rPr>
          <w:rFonts w:ascii="仿宋" w:hAnsi="仿宋" w:eastAsia="仿宋" w:cs="仿宋"/>
          <w:b/>
          <w:sz w:val="32"/>
          <w:szCs w:val="32"/>
        </w:rPr>
      </w:pPr>
      <w:bookmarkStart w:id="94" w:name="_Toc13"/>
      <w:bookmarkStart w:id="95" w:name="_Toc30836"/>
      <w:r>
        <w:rPr>
          <w:rFonts w:hint="eastAsia" w:ascii="仿宋" w:hAnsi="仿宋" w:eastAsia="仿宋" w:cs="仿宋"/>
          <w:b/>
          <w:sz w:val="32"/>
          <w:szCs w:val="32"/>
        </w:rPr>
        <w:t>5.2.1逐步建立和完善预算绩效管理体系</w:t>
      </w:r>
      <w:bookmarkEnd w:id="94"/>
      <w:bookmarkEnd w:id="95"/>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在逐步建立预算绩效管理制度体系的基础上，根据部门职能和实际情况，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pStyle w:val="2"/>
        <w:spacing w:line="520" w:lineRule="exact"/>
        <w:ind w:firstLine="640"/>
        <w:rPr>
          <w:rFonts w:hint="eastAsia" w:ascii="仿宋" w:hAnsi="仿宋" w:eastAsia="仿宋" w:cs="仿宋"/>
          <w:sz w:val="32"/>
          <w:szCs w:val="32"/>
        </w:rPr>
      </w:pPr>
    </w:p>
    <w:p>
      <w:pPr>
        <w:spacing w:line="520" w:lineRule="exact"/>
        <w:outlineLvl w:val="2"/>
        <w:rPr>
          <w:rFonts w:ascii="仿宋" w:hAnsi="仿宋" w:eastAsia="仿宋" w:cs="仿宋"/>
          <w:b/>
          <w:sz w:val="32"/>
          <w:szCs w:val="32"/>
        </w:rPr>
      </w:pPr>
      <w:bookmarkStart w:id="96" w:name="_Toc22133"/>
      <w:bookmarkStart w:id="97" w:name="_Toc26193"/>
      <w:r>
        <w:rPr>
          <w:rFonts w:hint="eastAsia" w:ascii="仿宋" w:hAnsi="仿宋" w:eastAsia="仿宋" w:cs="仿宋"/>
          <w:b/>
          <w:sz w:val="32"/>
          <w:szCs w:val="32"/>
        </w:rPr>
        <w:t>5.2.2加强制度管理体系建设及制度的落实</w:t>
      </w:r>
      <w:bookmarkEnd w:id="96"/>
      <w:bookmarkEnd w:id="97"/>
    </w:p>
    <w:p>
      <w:pPr>
        <w:pStyle w:val="11"/>
        <w:widowControl/>
        <w:spacing w:line="520" w:lineRule="exact"/>
        <w:ind w:firstLine="539"/>
        <w:textAlignment w:val="baseline"/>
        <w:rPr>
          <w:rFonts w:ascii="仿宋" w:hAnsi="仿宋" w:eastAsia="仿宋" w:cs="仿宋"/>
          <w:sz w:val="32"/>
          <w:szCs w:val="32"/>
        </w:rPr>
      </w:pPr>
      <w:r>
        <w:rPr>
          <w:rFonts w:hint="eastAsia" w:ascii="仿宋" w:hAnsi="仿宋" w:eastAsia="仿宋" w:cs="仿宋"/>
          <w:sz w:val="32"/>
          <w:szCs w:val="32"/>
        </w:rPr>
        <w:t>在充分结合部门实际情况的基础上，进一步完善相关管理制度，如：建立健全专门的预算资金管理办法、预算绩效管理办法，完善组织机构、明确人员分工，做到责任到人；并抓好制度的落实，加强对相关制度执行的监督管理</w:t>
      </w:r>
      <w:r>
        <w:rPr>
          <w:rFonts w:ascii="仿宋" w:hAnsi="仿宋" w:eastAsia="仿宋" w:cs="仿宋"/>
          <w:sz w:val="32"/>
          <w:szCs w:val="32"/>
        </w:rPr>
        <w:t>。</w:t>
      </w:r>
    </w:p>
    <w:p>
      <w:pPr>
        <w:pStyle w:val="11"/>
        <w:widowControl/>
        <w:spacing w:line="520" w:lineRule="exact"/>
        <w:ind w:firstLine="539"/>
        <w:textAlignment w:val="baseline"/>
        <w:rPr>
          <w:rFonts w:ascii="仿宋" w:hAnsi="仿宋" w:eastAsia="仿宋" w:cs="仿宋"/>
          <w:sz w:val="32"/>
          <w:szCs w:val="32"/>
        </w:rPr>
      </w:pPr>
    </w:p>
    <w:p>
      <w:pPr>
        <w:rPr>
          <w:rFonts w:hint="eastAsia" w:ascii="仿宋" w:hAnsi="仿宋" w:eastAsia="仿宋" w:cs="仿宋"/>
          <w:b/>
          <w:sz w:val="32"/>
          <w:szCs w:val="32"/>
          <w:lang w:val="en-US" w:eastAsia="zh-CN"/>
        </w:rPr>
      </w:pPr>
      <w:bookmarkStart w:id="98" w:name="_Toc1266"/>
      <w:bookmarkStart w:id="99" w:name="_Toc9940"/>
      <w:r>
        <w:rPr>
          <w:rFonts w:hint="eastAsia" w:ascii="仿宋" w:hAnsi="仿宋" w:eastAsia="仿宋" w:cs="仿宋"/>
          <w:b/>
          <w:sz w:val="32"/>
          <w:szCs w:val="32"/>
          <w:lang w:val="en-US" w:eastAsia="zh-CN"/>
        </w:rPr>
        <w:br w:type="page"/>
      </w:r>
    </w:p>
    <w:p>
      <w:pPr>
        <w:spacing w:line="520" w:lineRule="exact"/>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、其他事项说明</w:t>
      </w:r>
      <w:bookmarkEnd w:id="98"/>
      <w:bookmarkEnd w:id="99"/>
    </w:p>
    <w:p>
      <w:pPr>
        <w:spacing w:line="520" w:lineRule="exact"/>
        <w:ind w:firstLine="560"/>
        <w:jc w:val="left"/>
        <w:rPr>
          <w:rFonts w:ascii="仿宋" w:hAnsi="仿宋" w:eastAsia="仿宋" w:cs="仿宋"/>
          <w:sz w:val="32"/>
          <w:szCs w:val="32"/>
        </w:rPr>
      </w:pPr>
      <w:r>
        <w:rPr>
          <w:rFonts w:hint="eastAsia" w:ascii="仿宋" w:hAnsi="仿宋" w:eastAsia="仿宋" w:cs="仿宋"/>
          <w:sz w:val="32"/>
          <w:szCs w:val="32"/>
        </w:rPr>
        <w:t>（1）本绩效评价报告是在部门单位提供资料的基础上形成的。</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（2）本绩效评价报告仅供赣州蓉江新区财政局开展“</w:t>
      </w:r>
      <w:r>
        <w:rPr>
          <w:rFonts w:hint="eastAsia" w:ascii="仿宋" w:hAnsi="仿宋" w:eastAsia="仿宋"/>
          <w:sz w:val="32"/>
          <w:szCs w:val="32"/>
        </w:rPr>
        <w:t>赣州蓉江新区潭东镇人民政府2022年度部门整体支出</w:t>
      </w:r>
      <w:r>
        <w:rPr>
          <w:rFonts w:hint="eastAsia" w:ascii="仿宋" w:hAnsi="仿宋" w:eastAsia="仿宋" w:cs="仿宋"/>
          <w:sz w:val="32"/>
          <w:szCs w:val="32"/>
        </w:rPr>
        <w:t>”绩效评价相关工作使用，不作他用。</w:t>
      </w:r>
    </w:p>
    <w:p>
      <w:pPr>
        <w:pStyle w:val="2"/>
        <w:rPr>
          <w:rFonts w:hint="eastAsia" w:ascii="仿宋" w:hAnsi="仿宋" w:eastAsia="仿宋" w:cs="仿宋"/>
          <w:sz w:val="32"/>
          <w:szCs w:val="32"/>
        </w:rPr>
      </w:pPr>
    </w:p>
    <w:p>
      <w:pPr>
        <w:pStyle w:val="2"/>
        <w:rPr>
          <w:rFonts w:hint="eastAsia" w:ascii="仿宋" w:hAnsi="仿宋" w:eastAsia="仿宋" w:cs="仿宋"/>
          <w:sz w:val="32"/>
          <w:szCs w:val="32"/>
        </w:rPr>
      </w:pPr>
    </w:p>
    <w:p>
      <w:pPr>
        <w:spacing w:line="366" w:lineRule="exact"/>
        <w:jc w:val="right"/>
        <w:rPr>
          <w:rFonts w:hint="eastAsia" w:ascii="仿宋" w:hAnsi="仿宋" w:eastAsia="仿宋" w:cs="仿宋"/>
          <w:color w:val="auto"/>
          <w:sz w:val="32"/>
          <w:szCs w:val="32"/>
          <w:highlight w:val="yellow"/>
        </w:rPr>
      </w:pPr>
      <w:r>
        <w:rPr>
          <w:rFonts w:hint="eastAsia" w:ascii="仿宋" w:hAnsi="仿宋" w:eastAsia="仿宋"/>
          <w:sz w:val="32"/>
          <w:szCs w:val="32"/>
        </w:rPr>
        <w:t>国众联资产评估土地房地产估价有限公司</w:t>
      </w:r>
    </w:p>
    <w:p>
      <w:pPr>
        <w:widowControl/>
        <w:shd w:val="clear" w:color="auto" w:fill="FFFFFF"/>
        <w:spacing w:line="360" w:lineRule="atLeast"/>
        <w:ind w:left="480"/>
        <w:jc w:val="right"/>
        <w:textAlignment w:val="baseline"/>
        <w:rPr>
          <w:rFonts w:ascii="仿宋" w:hAnsi="仿宋" w:eastAsia="仿宋"/>
          <w:sz w:val="32"/>
          <w:szCs w:val="32"/>
        </w:rPr>
      </w:pPr>
      <w:r>
        <w:rPr>
          <w:rFonts w:hint="eastAsia" w:ascii="仿宋" w:hAnsi="仿宋" w:eastAsia="仿宋" w:cs="仿宋"/>
          <w:color w:val="auto"/>
          <w:sz w:val="32"/>
          <w:szCs w:val="32"/>
          <w:highlight w:val="none"/>
        </w:rPr>
        <w:t>202</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 xml:space="preserve"> 年 </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 xml:space="preserve"> 月 </w:t>
      </w:r>
      <w:r>
        <w:rPr>
          <w:rFonts w:hint="eastAsia" w:ascii="仿宋" w:hAnsi="仿宋" w:eastAsia="仿宋" w:cs="仿宋"/>
          <w:color w:val="auto"/>
          <w:sz w:val="32"/>
          <w:szCs w:val="32"/>
          <w:highlight w:val="none"/>
          <w:lang w:val="en-US" w:eastAsia="zh-CN"/>
        </w:rPr>
        <w:t>31</w:t>
      </w:r>
      <w:bookmarkStart w:id="100" w:name="_GoBack"/>
      <w:bookmarkEnd w:id="100"/>
      <w:r>
        <w:rPr>
          <w:rFonts w:hint="eastAsia" w:ascii="仿宋" w:hAnsi="仿宋" w:eastAsia="仿宋" w:cs="仿宋"/>
          <w:color w:val="auto"/>
          <w:sz w:val="32"/>
          <w:szCs w:val="32"/>
          <w:highlight w:val="none"/>
          <w:lang w:val="en-US" w:eastAsia="zh-CN"/>
        </w:rPr>
        <w:t>日</w:t>
      </w:r>
    </w:p>
    <w:p>
      <w:pPr>
        <w:pStyle w:val="2"/>
        <w:rPr>
          <w:rFonts w:hint="eastAsia" w:ascii="仿宋" w:hAnsi="仿宋" w:eastAsia="仿宋" w:cs="仿宋"/>
          <w:sz w:val="32"/>
          <w:szCs w:val="32"/>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Text Box 1028"/>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028"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LpYU0AAAAAMBAAAPAAAAAAAAAAEAIAAAACIAAABkcnMvZG93bnJldi54bWxQSwEC&#10;FAAUAAAACACHTuJAJ4HHFPwBAAAEBAAADgAAAAAAAAABACAAAAAfAQAAZHJzL2Uyb0RvYy54bWxQ&#10;SwUGAAAAAAYABgBZAQAAjQU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center"/>
    </w:pPr>
    <w:r>
      <w:rPr>
        <w:sz w:val="21"/>
        <w:szCs w:val="44"/>
      </w:rPr>
      <w:t>赣州蓉江新区</w:t>
    </w:r>
    <w:r>
      <w:rPr>
        <w:rFonts w:hint="eastAsia"/>
        <w:sz w:val="21"/>
        <w:szCs w:val="44"/>
      </w:rPr>
      <w:t>潭东镇人民政府</w:t>
    </w:r>
    <w:r>
      <w:rPr>
        <w:sz w:val="21"/>
        <w:szCs w:val="44"/>
      </w:rPr>
      <w:t>202</w:t>
    </w:r>
    <w:r>
      <w:rPr>
        <w:rFonts w:hint="eastAsia"/>
        <w:sz w:val="21"/>
        <w:szCs w:val="44"/>
      </w:rPr>
      <w:t>2</w:t>
    </w:r>
    <w:r>
      <w:rPr>
        <w:sz w:val="21"/>
        <w:szCs w:val="44"/>
      </w:rPr>
      <w:t>年度部门整体支出绩效评价报告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10555"/>
    <w:multiLevelType w:val="singleLevel"/>
    <w:tmpl w:val="E9E1055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WIwZjg5ODFkNjdjN2ZkM2E5YTZlZmJlNDNiZjAifQ=="/>
  </w:docVars>
  <w:rsids>
    <w:rsidRoot w:val="003E6AC9"/>
    <w:rsid w:val="00000C5C"/>
    <w:rsid w:val="00000F17"/>
    <w:rsid w:val="00007048"/>
    <w:rsid w:val="00010E2E"/>
    <w:rsid w:val="00013E22"/>
    <w:rsid w:val="00016B53"/>
    <w:rsid w:val="00017E5B"/>
    <w:rsid w:val="00017EC5"/>
    <w:rsid w:val="000211FB"/>
    <w:rsid w:val="000213DE"/>
    <w:rsid w:val="000216FC"/>
    <w:rsid w:val="00022FC5"/>
    <w:rsid w:val="00022FCF"/>
    <w:rsid w:val="00024802"/>
    <w:rsid w:val="0002572B"/>
    <w:rsid w:val="00026CAA"/>
    <w:rsid w:val="0002702D"/>
    <w:rsid w:val="000315A4"/>
    <w:rsid w:val="000342F5"/>
    <w:rsid w:val="00034586"/>
    <w:rsid w:val="000357DF"/>
    <w:rsid w:val="00035EEF"/>
    <w:rsid w:val="000361F4"/>
    <w:rsid w:val="00036CBF"/>
    <w:rsid w:val="000371C4"/>
    <w:rsid w:val="00042EC7"/>
    <w:rsid w:val="000447FC"/>
    <w:rsid w:val="00044A17"/>
    <w:rsid w:val="0004516C"/>
    <w:rsid w:val="00045E90"/>
    <w:rsid w:val="0004698F"/>
    <w:rsid w:val="00047148"/>
    <w:rsid w:val="00047377"/>
    <w:rsid w:val="00047842"/>
    <w:rsid w:val="000507FE"/>
    <w:rsid w:val="00051A19"/>
    <w:rsid w:val="0005279D"/>
    <w:rsid w:val="00053F93"/>
    <w:rsid w:val="00054439"/>
    <w:rsid w:val="00054A1C"/>
    <w:rsid w:val="00054BB9"/>
    <w:rsid w:val="00055A34"/>
    <w:rsid w:val="000562FE"/>
    <w:rsid w:val="00057EDC"/>
    <w:rsid w:val="000605AD"/>
    <w:rsid w:val="00060ACB"/>
    <w:rsid w:val="00060F71"/>
    <w:rsid w:val="00061645"/>
    <w:rsid w:val="00061A32"/>
    <w:rsid w:val="00061B07"/>
    <w:rsid w:val="0006247E"/>
    <w:rsid w:val="00062ACA"/>
    <w:rsid w:val="000656B8"/>
    <w:rsid w:val="00065EEF"/>
    <w:rsid w:val="00067EDB"/>
    <w:rsid w:val="00067FD4"/>
    <w:rsid w:val="00072F36"/>
    <w:rsid w:val="00073C81"/>
    <w:rsid w:val="00073E18"/>
    <w:rsid w:val="000742A1"/>
    <w:rsid w:val="00074A0C"/>
    <w:rsid w:val="00074C59"/>
    <w:rsid w:val="00074D47"/>
    <w:rsid w:val="00076980"/>
    <w:rsid w:val="00076AEF"/>
    <w:rsid w:val="00077042"/>
    <w:rsid w:val="000801C4"/>
    <w:rsid w:val="00080612"/>
    <w:rsid w:val="00082918"/>
    <w:rsid w:val="00083114"/>
    <w:rsid w:val="000841E7"/>
    <w:rsid w:val="000847DF"/>
    <w:rsid w:val="00087608"/>
    <w:rsid w:val="000876EF"/>
    <w:rsid w:val="00087741"/>
    <w:rsid w:val="0009094B"/>
    <w:rsid w:val="00090A71"/>
    <w:rsid w:val="00092299"/>
    <w:rsid w:val="00093CFC"/>
    <w:rsid w:val="00094098"/>
    <w:rsid w:val="000954D5"/>
    <w:rsid w:val="000974C8"/>
    <w:rsid w:val="00097EC2"/>
    <w:rsid w:val="000A17FF"/>
    <w:rsid w:val="000A21A2"/>
    <w:rsid w:val="000A2BF8"/>
    <w:rsid w:val="000A39A6"/>
    <w:rsid w:val="000A6717"/>
    <w:rsid w:val="000A6FC4"/>
    <w:rsid w:val="000A73C3"/>
    <w:rsid w:val="000B1F31"/>
    <w:rsid w:val="000B200B"/>
    <w:rsid w:val="000B2F47"/>
    <w:rsid w:val="000B3F53"/>
    <w:rsid w:val="000B458A"/>
    <w:rsid w:val="000B4CE2"/>
    <w:rsid w:val="000C2138"/>
    <w:rsid w:val="000C2670"/>
    <w:rsid w:val="000C3059"/>
    <w:rsid w:val="000C56E7"/>
    <w:rsid w:val="000C580A"/>
    <w:rsid w:val="000C6232"/>
    <w:rsid w:val="000C7049"/>
    <w:rsid w:val="000C7C66"/>
    <w:rsid w:val="000D06B4"/>
    <w:rsid w:val="000D3327"/>
    <w:rsid w:val="000D37C7"/>
    <w:rsid w:val="000D75A9"/>
    <w:rsid w:val="000E1230"/>
    <w:rsid w:val="000E131A"/>
    <w:rsid w:val="000E2044"/>
    <w:rsid w:val="000E2068"/>
    <w:rsid w:val="000E20BE"/>
    <w:rsid w:val="000E42E5"/>
    <w:rsid w:val="000E4414"/>
    <w:rsid w:val="000E5CB4"/>
    <w:rsid w:val="000F0F7E"/>
    <w:rsid w:val="000F1884"/>
    <w:rsid w:val="000F20CF"/>
    <w:rsid w:val="000F26CE"/>
    <w:rsid w:val="000F492E"/>
    <w:rsid w:val="000F6A79"/>
    <w:rsid w:val="000F75C4"/>
    <w:rsid w:val="000F7A99"/>
    <w:rsid w:val="001008C5"/>
    <w:rsid w:val="00100916"/>
    <w:rsid w:val="00101F23"/>
    <w:rsid w:val="001028B3"/>
    <w:rsid w:val="0010337B"/>
    <w:rsid w:val="0010407E"/>
    <w:rsid w:val="00105C79"/>
    <w:rsid w:val="00110EC6"/>
    <w:rsid w:val="00112806"/>
    <w:rsid w:val="001134DC"/>
    <w:rsid w:val="001138B5"/>
    <w:rsid w:val="00113A1E"/>
    <w:rsid w:val="00113E31"/>
    <w:rsid w:val="0011699A"/>
    <w:rsid w:val="0011783B"/>
    <w:rsid w:val="0011784E"/>
    <w:rsid w:val="00117B39"/>
    <w:rsid w:val="0012003C"/>
    <w:rsid w:val="00121596"/>
    <w:rsid w:val="00122686"/>
    <w:rsid w:val="00123059"/>
    <w:rsid w:val="00125649"/>
    <w:rsid w:val="00126F13"/>
    <w:rsid w:val="00130097"/>
    <w:rsid w:val="00132A42"/>
    <w:rsid w:val="00132D6C"/>
    <w:rsid w:val="00134488"/>
    <w:rsid w:val="00134803"/>
    <w:rsid w:val="001358B8"/>
    <w:rsid w:val="00136D1E"/>
    <w:rsid w:val="00137346"/>
    <w:rsid w:val="00140A0E"/>
    <w:rsid w:val="00141DFD"/>
    <w:rsid w:val="00141F8B"/>
    <w:rsid w:val="00143AF1"/>
    <w:rsid w:val="00143CC0"/>
    <w:rsid w:val="00143CE6"/>
    <w:rsid w:val="00146E13"/>
    <w:rsid w:val="00147068"/>
    <w:rsid w:val="00147075"/>
    <w:rsid w:val="001475D1"/>
    <w:rsid w:val="00151A0B"/>
    <w:rsid w:val="00152F8A"/>
    <w:rsid w:val="00154A51"/>
    <w:rsid w:val="00154BE7"/>
    <w:rsid w:val="0015659C"/>
    <w:rsid w:val="0015759A"/>
    <w:rsid w:val="0015768D"/>
    <w:rsid w:val="00160D27"/>
    <w:rsid w:val="00162692"/>
    <w:rsid w:val="001632CD"/>
    <w:rsid w:val="001660BA"/>
    <w:rsid w:val="001663E6"/>
    <w:rsid w:val="00167753"/>
    <w:rsid w:val="00167E6F"/>
    <w:rsid w:val="00171520"/>
    <w:rsid w:val="001724E2"/>
    <w:rsid w:val="00172BD8"/>
    <w:rsid w:val="00176557"/>
    <w:rsid w:val="00176731"/>
    <w:rsid w:val="00176BCE"/>
    <w:rsid w:val="00177013"/>
    <w:rsid w:val="00183022"/>
    <w:rsid w:val="00185AC7"/>
    <w:rsid w:val="00186BD3"/>
    <w:rsid w:val="00187EED"/>
    <w:rsid w:val="00187FD0"/>
    <w:rsid w:val="00191F87"/>
    <w:rsid w:val="00194AC6"/>
    <w:rsid w:val="00194B9B"/>
    <w:rsid w:val="00195E00"/>
    <w:rsid w:val="00197568"/>
    <w:rsid w:val="001A09F7"/>
    <w:rsid w:val="001A3210"/>
    <w:rsid w:val="001A3281"/>
    <w:rsid w:val="001A359B"/>
    <w:rsid w:val="001A38D1"/>
    <w:rsid w:val="001A4822"/>
    <w:rsid w:val="001A524E"/>
    <w:rsid w:val="001A5E15"/>
    <w:rsid w:val="001A63FF"/>
    <w:rsid w:val="001A69FB"/>
    <w:rsid w:val="001A6CE3"/>
    <w:rsid w:val="001A6EF4"/>
    <w:rsid w:val="001A73EA"/>
    <w:rsid w:val="001B1F63"/>
    <w:rsid w:val="001B1FF5"/>
    <w:rsid w:val="001B3104"/>
    <w:rsid w:val="001B3FAE"/>
    <w:rsid w:val="001B43BE"/>
    <w:rsid w:val="001B572E"/>
    <w:rsid w:val="001B5EDF"/>
    <w:rsid w:val="001B741B"/>
    <w:rsid w:val="001B7948"/>
    <w:rsid w:val="001B7BED"/>
    <w:rsid w:val="001B7E05"/>
    <w:rsid w:val="001C086B"/>
    <w:rsid w:val="001C0A86"/>
    <w:rsid w:val="001C0EC9"/>
    <w:rsid w:val="001C1493"/>
    <w:rsid w:val="001C2C10"/>
    <w:rsid w:val="001C38F8"/>
    <w:rsid w:val="001C4EAC"/>
    <w:rsid w:val="001D0DE4"/>
    <w:rsid w:val="001D101B"/>
    <w:rsid w:val="001D138C"/>
    <w:rsid w:val="001D384D"/>
    <w:rsid w:val="001D3BCF"/>
    <w:rsid w:val="001D4743"/>
    <w:rsid w:val="001D51B0"/>
    <w:rsid w:val="001D5A2D"/>
    <w:rsid w:val="001D6AAF"/>
    <w:rsid w:val="001D7E12"/>
    <w:rsid w:val="001E01A4"/>
    <w:rsid w:val="001E1462"/>
    <w:rsid w:val="001E298F"/>
    <w:rsid w:val="001E31E7"/>
    <w:rsid w:val="001E3BB5"/>
    <w:rsid w:val="001E48FC"/>
    <w:rsid w:val="001E5614"/>
    <w:rsid w:val="001E5B5C"/>
    <w:rsid w:val="001F0EA1"/>
    <w:rsid w:val="001F18D5"/>
    <w:rsid w:val="001F2BB5"/>
    <w:rsid w:val="001F388F"/>
    <w:rsid w:val="001F3AB8"/>
    <w:rsid w:val="001F6F88"/>
    <w:rsid w:val="00200CED"/>
    <w:rsid w:val="00200DD1"/>
    <w:rsid w:val="00204DB6"/>
    <w:rsid w:val="0020657F"/>
    <w:rsid w:val="00212821"/>
    <w:rsid w:val="00217D81"/>
    <w:rsid w:val="00220C99"/>
    <w:rsid w:val="00221AFD"/>
    <w:rsid w:val="002232C0"/>
    <w:rsid w:val="00223950"/>
    <w:rsid w:val="002239D2"/>
    <w:rsid w:val="00224636"/>
    <w:rsid w:val="00224C70"/>
    <w:rsid w:val="0022539D"/>
    <w:rsid w:val="00225CAE"/>
    <w:rsid w:val="00226889"/>
    <w:rsid w:val="002273CC"/>
    <w:rsid w:val="00230F76"/>
    <w:rsid w:val="00233846"/>
    <w:rsid w:val="002404F7"/>
    <w:rsid w:val="00240B8A"/>
    <w:rsid w:val="00242276"/>
    <w:rsid w:val="00244ED8"/>
    <w:rsid w:val="00245448"/>
    <w:rsid w:val="0024653F"/>
    <w:rsid w:val="002506FB"/>
    <w:rsid w:val="00251084"/>
    <w:rsid w:val="002515BC"/>
    <w:rsid w:val="002522FE"/>
    <w:rsid w:val="0025297B"/>
    <w:rsid w:val="00252D8D"/>
    <w:rsid w:val="0025465A"/>
    <w:rsid w:val="002567EE"/>
    <w:rsid w:val="00256A3E"/>
    <w:rsid w:val="00260767"/>
    <w:rsid w:val="0026204E"/>
    <w:rsid w:val="002627AA"/>
    <w:rsid w:val="0026377E"/>
    <w:rsid w:val="00265A98"/>
    <w:rsid w:val="00266311"/>
    <w:rsid w:val="00267580"/>
    <w:rsid w:val="00267888"/>
    <w:rsid w:val="0027286B"/>
    <w:rsid w:val="00276012"/>
    <w:rsid w:val="002818C1"/>
    <w:rsid w:val="00282B7C"/>
    <w:rsid w:val="002833B1"/>
    <w:rsid w:val="002842A9"/>
    <w:rsid w:val="00285CB6"/>
    <w:rsid w:val="002860F0"/>
    <w:rsid w:val="00290BD5"/>
    <w:rsid w:val="00290E32"/>
    <w:rsid w:val="00291C3B"/>
    <w:rsid w:val="00291F3B"/>
    <w:rsid w:val="00292CF4"/>
    <w:rsid w:val="002971FF"/>
    <w:rsid w:val="00297F8B"/>
    <w:rsid w:val="002A0470"/>
    <w:rsid w:val="002A077B"/>
    <w:rsid w:val="002A2E8D"/>
    <w:rsid w:val="002A31C0"/>
    <w:rsid w:val="002A5ECD"/>
    <w:rsid w:val="002A70A8"/>
    <w:rsid w:val="002A73B0"/>
    <w:rsid w:val="002A7992"/>
    <w:rsid w:val="002B22E1"/>
    <w:rsid w:val="002B3429"/>
    <w:rsid w:val="002B4602"/>
    <w:rsid w:val="002C0EB7"/>
    <w:rsid w:val="002C202A"/>
    <w:rsid w:val="002C3100"/>
    <w:rsid w:val="002C551A"/>
    <w:rsid w:val="002C581E"/>
    <w:rsid w:val="002C5E82"/>
    <w:rsid w:val="002D0445"/>
    <w:rsid w:val="002D165B"/>
    <w:rsid w:val="002D1C25"/>
    <w:rsid w:val="002D21B7"/>
    <w:rsid w:val="002D331D"/>
    <w:rsid w:val="002D37B6"/>
    <w:rsid w:val="002D641C"/>
    <w:rsid w:val="002E182F"/>
    <w:rsid w:val="002E394D"/>
    <w:rsid w:val="002E3D90"/>
    <w:rsid w:val="002E4045"/>
    <w:rsid w:val="002E4318"/>
    <w:rsid w:val="002F20F7"/>
    <w:rsid w:val="002F213C"/>
    <w:rsid w:val="002F283C"/>
    <w:rsid w:val="002F3DB9"/>
    <w:rsid w:val="002F459A"/>
    <w:rsid w:val="002F4E85"/>
    <w:rsid w:val="002F53D0"/>
    <w:rsid w:val="002F58AE"/>
    <w:rsid w:val="002F7E3E"/>
    <w:rsid w:val="00300633"/>
    <w:rsid w:val="00302D5C"/>
    <w:rsid w:val="00305514"/>
    <w:rsid w:val="00307810"/>
    <w:rsid w:val="00310546"/>
    <w:rsid w:val="0031348A"/>
    <w:rsid w:val="00313D1A"/>
    <w:rsid w:val="00317F1B"/>
    <w:rsid w:val="003237C5"/>
    <w:rsid w:val="00325B03"/>
    <w:rsid w:val="0032663D"/>
    <w:rsid w:val="00327A4E"/>
    <w:rsid w:val="00327AD2"/>
    <w:rsid w:val="00331B8A"/>
    <w:rsid w:val="00332D81"/>
    <w:rsid w:val="00333BF4"/>
    <w:rsid w:val="00334EFE"/>
    <w:rsid w:val="0033635A"/>
    <w:rsid w:val="00336691"/>
    <w:rsid w:val="00336AA5"/>
    <w:rsid w:val="00343862"/>
    <w:rsid w:val="00344A89"/>
    <w:rsid w:val="00345F37"/>
    <w:rsid w:val="00346385"/>
    <w:rsid w:val="00347250"/>
    <w:rsid w:val="00352F1C"/>
    <w:rsid w:val="003551D7"/>
    <w:rsid w:val="0035533B"/>
    <w:rsid w:val="00355786"/>
    <w:rsid w:val="003563C0"/>
    <w:rsid w:val="00357263"/>
    <w:rsid w:val="00360C87"/>
    <w:rsid w:val="0036327B"/>
    <w:rsid w:val="0036327D"/>
    <w:rsid w:val="00363919"/>
    <w:rsid w:val="00364A91"/>
    <w:rsid w:val="00371CD8"/>
    <w:rsid w:val="00372AD0"/>
    <w:rsid w:val="00372FE3"/>
    <w:rsid w:val="00375942"/>
    <w:rsid w:val="00376ECA"/>
    <w:rsid w:val="00377A48"/>
    <w:rsid w:val="003804E4"/>
    <w:rsid w:val="00380FA8"/>
    <w:rsid w:val="00381C37"/>
    <w:rsid w:val="0038208E"/>
    <w:rsid w:val="0038216F"/>
    <w:rsid w:val="00382788"/>
    <w:rsid w:val="00384EAF"/>
    <w:rsid w:val="00386911"/>
    <w:rsid w:val="00386DA0"/>
    <w:rsid w:val="003873B4"/>
    <w:rsid w:val="00387742"/>
    <w:rsid w:val="00390DD3"/>
    <w:rsid w:val="00391699"/>
    <w:rsid w:val="00391A04"/>
    <w:rsid w:val="003920CA"/>
    <w:rsid w:val="00392603"/>
    <w:rsid w:val="00392652"/>
    <w:rsid w:val="00392F47"/>
    <w:rsid w:val="00393775"/>
    <w:rsid w:val="00393870"/>
    <w:rsid w:val="00393E7F"/>
    <w:rsid w:val="00394958"/>
    <w:rsid w:val="00397651"/>
    <w:rsid w:val="003A0E46"/>
    <w:rsid w:val="003A2947"/>
    <w:rsid w:val="003A313A"/>
    <w:rsid w:val="003A3693"/>
    <w:rsid w:val="003A43B9"/>
    <w:rsid w:val="003A43EA"/>
    <w:rsid w:val="003A7BAE"/>
    <w:rsid w:val="003B0F34"/>
    <w:rsid w:val="003B0F89"/>
    <w:rsid w:val="003B1934"/>
    <w:rsid w:val="003B211D"/>
    <w:rsid w:val="003B3C2C"/>
    <w:rsid w:val="003B57CF"/>
    <w:rsid w:val="003B591A"/>
    <w:rsid w:val="003B5AD7"/>
    <w:rsid w:val="003B750C"/>
    <w:rsid w:val="003C21F6"/>
    <w:rsid w:val="003D0F5B"/>
    <w:rsid w:val="003D11C7"/>
    <w:rsid w:val="003D1302"/>
    <w:rsid w:val="003D1707"/>
    <w:rsid w:val="003D5EA2"/>
    <w:rsid w:val="003D6605"/>
    <w:rsid w:val="003D6DED"/>
    <w:rsid w:val="003E0E2E"/>
    <w:rsid w:val="003E39AF"/>
    <w:rsid w:val="003E6AC9"/>
    <w:rsid w:val="003E7376"/>
    <w:rsid w:val="003F4268"/>
    <w:rsid w:val="003F5D38"/>
    <w:rsid w:val="003F6AB7"/>
    <w:rsid w:val="003F737D"/>
    <w:rsid w:val="003F7863"/>
    <w:rsid w:val="004021AA"/>
    <w:rsid w:val="00402FE9"/>
    <w:rsid w:val="004038E1"/>
    <w:rsid w:val="0040431E"/>
    <w:rsid w:val="00404322"/>
    <w:rsid w:val="0040456E"/>
    <w:rsid w:val="00404604"/>
    <w:rsid w:val="0040483F"/>
    <w:rsid w:val="00404F43"/>
    <w:rsid w:val="0040554D"/>
    <w:rsid w:val="004101F9"/>
    <w:rsid w:val="0041067D"/>
    <w:rsid w:val="0041211E"/>
    <w:rsid w:val="004139DE"/>
    <w:rsid w:val="00413DED"/>
    <w:rsid w:val="0041422C"/>
    <w:rsid w:val="00414973"/>
    <w:rsid w:val="00415761"/>
    <w:rsid w:val="00415882"/>
    <w:rsid w:val="00415E07"/>
    <w:rsid w:val="00416F9D"/>
    <w:rsid w:val="00417BD0"/>
    <w:rsid w:val="00417F42"/>
    <w:rsid w:val="00420009"/>
    <w:rsid w:val="00423D31"/>
    <w:rsid w:val="0042469E"/>
    <w:rsid w:val="00425DC5"/>
    <w:rsid w:val="00426E99"/>
    <w:rsid w:val="00430318"/>
    <w:rsid w:val="004304DB"/>
    <w:rsid w:val="0043306A"/>
    <w:rsid w:val="0043546E"/>
    <w:rsid w:val="00441743"/>
    <w:rsid w:val="00443453"/>
    <w:rsid w:val="004435F3"/>
    <w:rsid w:val="00443DDE"/>
    <w:rsid w:val="00445218"/>
    <w:rsid w:val="00445977"/>
    <w:rsid w:val="00446480"/>
    <w:rsid w:val="00451D9F"/>
    <w:rsid w:val="00451EC6"/>
    <w:rsid w:val="00453BB6"/>
    <w:rsid w:val="00453CEE"/>
    <w:rsid w:val="00455FF4"/>
    <w:rsid w:val="004606F0"/>
    <w:rsid w:val="00461587"/>
    <w:rsid w:val="004619CC"/>
    <w:rsid w:val="00461B9B"/>
    <w:rsid w:val="004632C0"/>
    <w:rsid w:val="00463FDE"/>
    <w:rsid w:val="004642C4"/>
    <w:rsid w:val="00465C6B"/>
    <w:rsid w:val="00471069"/>
    <w:rsid w:val="0047136A"/>
    <w:rsid w:val="00471A11"/>
    <w:rsid w:val="00472056"/>
    <w:rsid w:val="00472D18"/>
    <w:rsid w:val="00472DAC"/>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2F1B"/>
    <w:rsid w:val="004961BB"/>
    <w:rsid w:val="004A0F89"/>
    <w:rsid w:val="004A15DD"/>
    <w:rsid w:val="004A2771"/>
    <w:rsid w:val="004A2F5B"/>
    <w:rsid w:val="004A373F"/>
    <w:rsid w:val="004A5A8B"/>
    <w:rsid w:val="004A614B"/>
    <w:rsid w:val="004A7469"/>
    <w:rsid w:val="004A7FDE"/>
    <w:rsid w:val="004B0990"/>
    <w:rsid w:val="004B0A8F"/>
    <w:rsid w:val="004B1388"/>
    <w:rsid w:val="004B371B"/>
    <w:rsid w:val="004B499D"/>
    <w:rsid w:val="004B79AA"/>
    <w:rsid w:val="004C03AD"/>
    <w:rsid w:val="004C0CB1"/>
    <w:rsid w:val="004C2AE3"/>
    <w:rsid w:val="004C531B"/>
    <w:rsid w:val="004C58E9"/>
    <w:rsid w:val="004C726A"/>
    <w:rsid w:val="004D0B70"/>
    <w:rsid w:val="004D382E"/>
    <w:rsid w:val="004D51A8"/>
    <w:rsid w:val="004D6AF6"/>
    <w:rsid w:val="004D7382"/>
    <w:rsid w:val="004E03E5"/>
    <w:rsid w:val="004E1192"/>
    <w:rsid w:val="004E1F70"/>
    <w:rsid w:val="004E20D8"/>
    <w:rsid w:val="004E2C0E"/>
    <w:rsid w:val="004E3959"/>
    <w:rsid w:val="004E43AE"/>
    <w:rsid w:val="004E6A56"/>
    <w:rsid w:val="004E71B5"/>
    <w:rsid w:val="004F1B08"/>
    <w:rsid w:val="004F2687"/>
    <w:rsid w:val="004F37BC"/>
    <w:rsid w:val="004F50ED"/>
    <w:rsid w:val="004F5E9E"/>
    <w:rsid w:val="004F68F3"/>
    <w:rsid w:val="004F7B55"/>
    <w:rsid w:val="004F7E1F"/>
    <w:rsid w:val="004F7F74"/>
    <w:rsid w:val="0050177B"/>
    <w:rsid w:val="00502D12"/>
    <w:rsid w:val="005039B2"/>
    <w:rsid w:val="005059BB"/>
    <w:rsid w:val="00506DCA"/>
    <w:rsid w:val="00507A75"/>
    <w:rsid w:val="0051066E"/>
    <w:rsid w:val="005107D3"/>
    <w:rsid w:val="0051141A"/>
    <w:rsid w:val="005141A6"/>
    <w:rsid w:val="00515BB7"/>
    <w:rsid w:val="00516CCB"/>
    <w:rsid w:val="00516DFF"/>
    <w:rsid w:val="00520A86"/>
    <w:rsid w:val="00521ADD"/>
    <w:rsid w:val="00522C97"/>
    <w:rsid w:val="00525211"/>
    <w:rsid w:val="0052760B"/>
    <w:rsid w:val="00530C01"/>
    <w:rsid w:val="00530C83"/>
    <w:rsid w:val="005319AF"/>
    <w:rsid w:val="005322D4"/>
    <w:rsid w:val="005350AF"/>
    <w:rsid w:val="005362E5"/>
    <w:rsid w:val="00536808"/>
    <w:rsid w:val="00536969"/>
    <w:rsid w:val="00537CF0"/>
    <w:rsid w:val="005404B5"/>
    <w:rsid w:val="0054179B"/>
    <w:rsid w:val="00541E8F"/>
    <w:rsid w:val="00542911"/>
    <w:rsid w:val="00544964"/>
    <w:rsid w:val="00547676"/>
    <w:rsid w:val="00547E63"/>
    <w:rsid w:val="00553B7C"/>
    <w:rsid w:val="00554EB6"/>
    <w:rsid w:val="005561AA"/>
    <w:rsid w:val="005616E7"/>
    <w:rsid w:val="00562592"/>
    <w:rsid w:val="00563E55"/>
    <w:rsid w:val="00564FE6"/>
    <w:rsid w:val="0056500E"/>
    <w:rsid w:val="00565052"/>
    <w:rsid w:val="00565214"/>
    <w:rsid w:val="00566564"/>
    <w:rsid w:val="00566E0D"/>
    <w:rsid w:val="00566EF2"/>
    <w:rsid w:val="00566FED"/>
    <w:rsid w:val="0056758A"/>
    <w:rsid w:val="005677E0"/>
    <w:rsid w:val="00567CDD"/>
    <w:rsid w:val="00567DB3"/>
    <w:rsid w:val="005718B2"/>
    <w:rsid w:val="00572880"/>
    <w:rsid w:val="005740C0"/>
    <w:rsid w:val="00575EA8"/>
    <w:rsid w:val="00576E47"/>
    <w:rsid w:val="00580C8C"/>
    <w:rsid w:val="00581F8A"/>
    <w:rsid w:val="00582A14"/>
    <w:rsid w:val="0058319E"/>
    <w:rsid w:val="005833C6"/>
    <w:rsid w:val="0058669A"/>
    <w:rsid w:val="00586C0B"/>
    <w:rsid w:val="00586C31"/>
    <w:rsid w:val="00587CA0"/>
    <w:rsid w:val="00587E64"/>
    <w:rsid w:val="0059196B"/>
    <w:rsid w:val="0059232E"/>
    <w:rsid w:val="00593C27"/>
    <w:rsid w:val="00595C96"/>
    <w:rsid w:val="00596E0C"/>
    <w:rsid w:val="005A0006"/>
    <w:rsid w:val="005A1B61"/>
    <w:rsid w:val="005A2A41"/>
    <w:rsid w:val="005A5C61"/>
    <w:rsid w:val="005A5F5E"/>
    <w:rsid w:val="005A63C4"/>
    <w:rsid w:val="005B1339"/>
    <w:rsid w:val="005B1448"/>
    <w:rsid w:val="005B14E1"/>
    <w:rsid w:val="005B208F"/>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1084"/>
    <w:rsid w:val="005D14AA"/>
    <w:rsid w:val="005D33AB"/>
    <w:rsid w:val="005D377E"/>
    <w:rsid w:val="005D3DF0"/>
    <w:rsid w:val="005D4035"/>
    <w:rsid w:val="005D5193"/>
    <w:rsid w:val="005D6058"/>
    <w:rsid w:val="005E1B5F"/>
    <w:rsid w:val="005E27D0"/>
    <w:rsid w:val="005E2C76"/>
    <w:rsid w:val="005E446A"/>
    <w:rsid w:val="005E47DE"/>
    <w:rsid w:val="005E4BE1"/>
    <w:rsid w:val="005E53E9"/>
    <w:rsid w:val="005E54D5"/>
    <w:rsid w:val="005E7B80"/>
    <w:rsid w:val="005F0A3E"/>
    <w:rsid w:val="005F2C97"/>
    <w:rsid w:val="005F3C31"/>
    <w:rsid w:val="005F3C9B"/>
    <w:rsid w:val="005F420B"/>
    <w:rsid w:val="005F5956"/>
    <w:rsid w:val="005F5F55"/>
    <w:rsid w:val="005F6B34"/>
    <w:rsid w:val="005F746A"/>
    <w:rsid w:val="005F7E75"/>
    <w:rsid w:val="00600D58"/>
    <w:rsid w:val="006010C7"/>
    <w:rsid w:val="00602F87"/>
    <w:rsid w:val="00603698"/>
    <w:rsid w:val="006042C2"/>
    <w:rsid w:val="006042D2"/>
    <w:rsid w:val="0060431F"/>
    <w:rsid w:val="0060505A"/>
    <w:rsid w:val="00605E9E"/>
    <w:rsid w:val="00606F77"/>
    <w:rsid w:val="00610E79"/>
    <w:rsid w:val="0061333C"/>
    <w:rsid w:val="00614BB6"/>
    <w:rsid w:val="00614E74"/>
    <w:rsid w:val="006170F9"/>
    <w:rsid w:val="00617829"/>
    <w:rsid w:val="00622339"/>
    <w:rsid w:val="00623960"/>
    <w:rsid w:val="00623C8F"/>
    <w:rsid w:val="00623DB9"/>
    <w:rsid w:val="00624669"/>
    <w:rsid w:val="0062602A"/>
    <w:rsid w:val="00630BD3"/>
    <w:rsid w:val="00631793"/>
    <w:rsid w:val="00632475"/>
    <w:rsid w:val="006337F0"/>
    <w:rsid w:val="00633905"/>
    <w:rsid w:val="00633B04"/>
    <w:rsid w:val="00635957"/>
    <w:rsid w:val="00640F90"/>
    <w:rsid w:val="0064110A"/>
    <w:rsid w:val="006419DD"/>
    <w:rsid w:val="006438A2"/>
    <w:rsid w:val="0064417F"/>
    <w:rsid w:val="00644395"/>
    <w:rsid w:val="00644E89"/>
    <w:rsid w:val="00644E8C"/>
    <w:rsid w:val="0064553D"/>
    <w:rsid w:val="00645F58"/>
    <w:rsid w:val="00647BCF"/>
    <w:rsid w:val="00650F0C"/>
    <w:rsid w:val="00660162"/>
    <w:rsid w:val="00660D5F"/>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722E"/>
    <w:rsid w:val="00677768"/>
    <w:rsid w:val="00680BB0"/>
    <w:rsid w:val="0068161A"/>
    <w:rsid w:val="00681B08"/>
    <w:rsid w:val="00682210"/>
    <w:rsid w:val="0068468E"/>
    <w:rsid w:val="0068493A"/>
    <w:rsid w:val="00686F21"/>
    <w:rsid w:val="006875C2"/>
    <w:rsid w:val="00690E2E"/>
    <w:rsid w:val="006913E5"/>
    <w:rsid w:val="00692614"/>
    <w:rsid w:val="00692695"/>
    <w:rsid w:val="006935DD"/>
    <w:rsid w:val="00693B1C"/>
    <w:rsid w:val="00694D51"/>
    <w:rsid w:val="0069587F"/>
    <w:rsid w:val="0069704D"/>
    <w:rsid w:val="006A1E1E"/>
    <w:rsid w:val="006A3EEB"/>
    <w:rsid w:val="006A46FC"/>
    <w:rsid w:val="006A6A67"/>
    <w:rsid w:val="006A7B6D"/>
    <w:rsid w:val="006A7CF6"/>
    <w:rsid w:val="006B17C4"/>
    <w:rsid w:val="006B2CE7"/>
    <w:rsid w:val="006B6172"/>
    <w:rsid w:val="006B76DD"/>
    <w:rsid w:val="006B7C5A"/>
    <w:rsid w:val="006C1983"/>
    <w:rsid w:val="006C36A3"/>
    <w:rsid w:val="006C4789"/>
    <w:rsid w:val="006C5B05"/>
    <w:rsid w:val="006C5D20"/>
    <w:rsid w:val="006C5FA9"/>
    <w:rsid w:val="006C6108"/>
    <w:rsid w:val="006C662A"/>
    <w:rsid w:val="006C7FE7"/>
    <w:rsid w:val="006D0478"/>
    <w:rsid w:val="006D0CC3"/>
    <w:rsid w:val="006D1F69"/>
    <w:rsid w:val="006D5449"/>
    <w:rsid w:val="006D6214"/>
    <w:rsid w:val="006D6908"/>
    <w:rsid w:val="006D6F92"/>
    <w:rsid w:val="006E0CE9"/>
    <w:rsid w:val="006E1496"/>
    <w:rsid w:val="006E466E"/>
    <w:rsid w:val="006E4B78"/>
    <w:rsid w:val="006E4EFA"/>
    <w:rsid w:val="006E6279"/>
    <w:rsid w:val="006E6C2C"/>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11B8"/>
    <w:rsid w:val="00711553"/>
    <w:rsid w:val="007118BF"/>
    <w:rsid w:val="007131E9"/>
    <w:rsid w:val="00713465"/>
    <w:rsid w:val="0071462D"/>
    <w:rsid w:val="007172D5"/>
    <w:rsid w:val="00722C2C"/>
    <w:rsid w:val="0072558C"/>
    <w:rsid w:val="007274EF"/>
    <w:rsid w:val="00727656"/>
    <w:rsid w:val="00727970"/>
    <w:rsid w:val="00727FE4"/>
    <w:rsid w:val="00730DFE"/>
    <w:rsid w:val="007330F7"/>
    <w:rsid w:val="00734C6F"/>
    <w:rsid w:val="00735A59"/>
    <w:rsid w:val="0073653B"/>
    <w:rsid w:val="007403B5"/>
    <w:rsid w:val="00740A0B"/>
    <w:rsid w:val="00741241"/>
    <w:rsid w:val="007413A1"/>
    <w:rsid w:val="00742F4A"/>
    <w:rsid w:val="00742FA9"/>
    <w:rsid w:val="00743B29"/>
    <w:rsid w:val="00746253"/>
    <w:rsid w:val="00747DA2"/>
    <w:rsid w:val="00750C38"/>
    <w:rsid w:val="00751EB4"/>
    <w:rsid w:val="00752840"/>
    <w:rsid w:val="00753C1D"/>
    <w:rsid w:val="0075497E"/>
    <w:rsid w:val="0075663B"/>
    <w:rsid w:val="00760A07"/>
    <w:rsid w:val="00762A89"/>
    <w:rsid w:val="00762E18"/>
    <w:rsid w:val="00762F60"/>
    <w:rsid w:val="0076354A"/>
    <w:rsid w:val="007664C9"/>
    <w:rsid w:val="00766660"/>
    <w:rsid w:val="00770C09"/>
    <w:rsid w:val="00770C2E"/>
    <w:rsid w:val="007714DC"/>
    <w:rsid w:val="00771E46"/>
    <w:rsid w:val="00772CC4"/>
    <w:rsid w:val="0077456F"/>
    <w:rsid w:val="007756FE"/>
    <w:rsid w:val="007773AD"/>
    <w:rsid w:val="00780066"/>
    <w:rsid w:val="00780BBE"/>
    <w:rsid w:val="00781195"/>
    <w:rsid w:val="00782185"/>
    <w:rsid w:val="0078278F"/>
    <w:rsid w:val="007832CB"/>
    <w:rsid w:val="007834FF"/>
    <w:rsid w:val="007835D7"/>
    <w:rsid w:val="00784C29"/>
    <w:rsid w:val="00786826"/>
    <w:rsid w:val="007877BA"/>
    <w:rsid w:val="00787DF2"/>
    <w:rsid w:val="00790FE3"/>
    <w:rsid w:val="007914A4"/>
    <w:rsid w:val="00791A45"/>
    <w:rsid w:val="00791B1D"/>
    <w:rsid w:val="0079207F"/>
    <w:rsid w:val="00793534"/>
    <w:rsid w:val="00794D6D"/>
    <w:rsid w:val="007952AA"/>
    <w:rsid w:val="0079570D"/>
    <w:rsid w:val="0079585D"/>
    <w:rsid w:val="007A16BA"/>
    <w:rsid w:val="007A1B5C"/>
    <w:rsid w:val="007A2299"/>
    <w:rsid w:val="007A297F"/>
    <w:rsid w:val="007A3F95"/>
    <w:rsid w:val="007A5A43"/>
    <w:rsid w:val="007A5C63"/>
    <w:rsid w:val="007A657A"/>
    <w:rsid w:val="007A658E"/>
    <w:rsid w:val="007A6B65"/>
    <w:rsid w:val="007A76CC"/>
    <w:rsid w:val="007B04EB"/>
    <w:rsid w:val="007B20BB"/>
    <w:rsid w:val="007B2B4C"/>
    <w:rsid w:val="007B2D35"/>
    <w:rsid w:val="007B44EB"/>
    <w:rsid w:val="007B4502"/>
    <w:rsid w:val="007B5E1B"/>
    <w:rsid w:val="007B6EC3"/>
    <w:rsid w:val="007C01AA"/>
    <w:rsid w:val="007C06BC"/>
    <w:rsid w:val="007C06EC"/>
    <w:rsid w:val="007C0F05"/>
    <w:rsid w:val="007C16D2"/>
    <w:rsid w:val="007C1F97"/>
    <w:rsid w:val="007C2FF5"/>
    <w:rsid w:val="007C3A70"/>
    <w:rsid w:val="007C614B"/>
    <w:rsid w:val="007D0198"/>
    <w:rsid w:val="007D059E"/>
    <w:rsid w:val="007D0BD6"/>
    <w:rsid w:val="007D5750"/>
    <w:rsid w:val="007D6ADF"/>
    <w:rsid w:val="007D716D"/>
    <w:rsid w:val="007D7A3B"/>
    <w:rsid w:val="007E0083"/>
    <w:rsid w:val="007E0C81"/>
    <w:rsid w:val="007E2ADB"/>
    <w:rsid w:val="007E2C6C"/>
    <w:rsid w:val="007E4939"/>
    <w:rsid w:val="007E4C7F"/>
    <w:rsid w:val="007E5631"/>
    <w:rsid w:val="007E614B"/>
    <w:rsid w:val="007F047B"/>
    <w:rsid w:val="007F07AC"/>
    <w:rsid w:val="007F094C"/>
    <w:rsid w:val="007F1930"/>
    <w:rsid w:val="007F1C84"/>
    <w:rsid w:val="007F3D65"/>
    <w:rsid w:val="007F458D"/>
    <w:rsid w:val="007F5057"/>
    <w:rsid w:val="007F5DF3"/>
    <w:rsid w:val="007F63DD"/>
    <w:rsid w:val="00800356"/>
    <w:rsid w:val="00802B78"/>
    <w:rsid w:val="00802F0F"/>
    <w:rsid w:val="00803B8F"/>
    <w:rsid w:val="00803ED8"/>
    <w:rsid w:val="00803FEE"/>
    <w:rsid w:val="008052A3"/>
    <w:rsid w:val="00806452"/>
    <w:rsid w:val="00810631"/>
    <w:rsid w:val="008108A2"/>
    <w:rsid w:val="00810C39"/>
    <w:rsid w:val="00810D60"/>
    <w:rsid w:val="008115C5"/>
    <w:rsid w:val="0081364C"/>
    <w:rsid w:val="0081386D"/>
    <w:rsid w:val="008146CD"/>
    <w:rsid w:val="00814B1C"/>
    <w:rsid w:val="008179CE"/>
    <w:rsid w:val="00820533"/>
    <w:rsid w:val="00820A60"/>
    <w:rsid w:val="00822588"/>
    <w:rsid w:val="00822FCA"/>
    <w:rsid w:val="00823B0F"/>
    <w:rsid w:val="00824191"/>
    <w:rsid w:val="00824A1C"/>
    <w:rsid w:val="00824AC8"/>
    <w:rsid w:val="00826274"/>
    <w:rsid w:val="00826E56"/>
    <w:rsid w:val="0082756A"/>
    <w:rsid w:val="0083010F"/>
    <w:rsid w:val="00833DBE"/>
    <w:rsid w:val="00835A49"/>
    <w:rsid w:val="00836309"/>
    <w:rsid w:val="00836925"/>
    <w:rsid w:val="00840BC5"/>
    <w:rsid w:val="00841C86"/>
    <w:rsid w:val="00841F35"/>
    <w:rsid w:val="00842161"/>
    <w:rsid w:val="00847C4D"/>
    <w:rsid w:val="00851720"/>
    <w:rsid w:val="00853187"/>
    <w:rsid w:val="00853494"/>
    <w:rsid w:val="00853DEB"/>
    <w:rsid w:val="00853FF3"/>
    <w:rsid w:val="008575E8"/>
    <w:rsid w:val="0086024C"/>
    <w:rsid w:val="0086136D"/>
    <w:rsid w:val="008613D8"/>
    <w:rsid w:val="008615ED"/>
    <w:rsid w:val="0086179F"/>
    <w:rsid w:val="008622C4"/>
    <w:rsid w:val="00865043"/>
    <w:rsid w:val="00866ABD"/>
    <w:rsid w:val="00867B58"/>
    <w:rsid w:val="00870630"/>
    <w:rsid w:val="00870F55"/>
    <w:rsid w:val="00871098"/>
    <w:rsid w:val="00873398"/>
    <w:rsid w:val="00874E0F"/>
    <w:rsid w:val="00874F74"/>
    <w:rsid w:val="0087561B"/>
    <w:rsid w:val="008777C5"/>
    <w:rsid w:val="00880A9D"/>
    <w:rsid w:val="0088151D"/>
    <w:rsid w:val="00881E35"/>
    <w:rsid w:val="00884867"/>
    <w:rsid w:val="008873A6"/>
    <w:rsid w:val="0089008D"/>
    <w:rsid w:val="008974E4"/>
    <w:rsid w:val="008A10D6"/>
    <w:rsid w:val="008A2209"/>
    <w:rsid w:val="008A2D72"/>
    <w:rsid w:val="008A370F"/>
    <w:rsid w:val="008A578E"/>
    <w:rsid w:val="008A7D3D"/>
    <w:rsid w:val="008B0E89"/>
    <w:rsid w:val="008B1781"/>
    <w:rsid w:val="008B1D8B"/>
    <w:rsid w:val="008B23CB"/>
    <w:rsid w:val="008B4468"/>
    <w:rsid w:val="008B4875"/>
    <w:rsid w:val="008B5019"/>
    <w:rsid w:val="008B5DAC"/>
    <w:rsid w:val="008B63D6"/>
    <w:rsid w:val="008B798C"/>
    <w:rsid w:val="008C14FC"/>
    <w:rsid w:val="008C28CE"/>
    <w:rsid w:val="008C2955"/>
    <w:rsid w:val="008C498F"/>
    <w:rsid w:val="008C5E6B"/>
    <w:rsid w:val="008D183D"/>
    <w:rsid w:val="008D282B"/>
    <w:rsid w:val="008D49C5"/>
    <w:rsid w:val="008D576F"/>
    <w:rsid w:val="008D5F6B"/>
    <w:rsid w:val="008D66CF"/>
    <w:rsid w:val="008D79E1"/>
    <w:rsid w:val="008E2B0B"/>
    <w:rsid w:val="008E2C96"/>
    <w:rsid w:val="008E2F47"/>
    <w:rsid w:val="008E68B6"/>
    <w:rsid w:val="008E70C3"/>
    <w:rsid w:val="008E70F6"/>
    <w:rsid w:val="008F104A"/>
    <w:rsid w:val="008F1CAD"/>
    <w:rsid w:val="008F2A75"/>
    <w:rsid w:val="008F451F"/>
    <w:rsid w:val="008F77F5"/>
    <w:rsid w:val="00901D4E"/>
    <w:rsid w:val="009030E4"/>
    <w:rsid w:val="00903189"/>
    <w:rsid w:val="009037A0"/>
    <w:rsid w:val="00903977"/>
    <w:rsid w:val="009042BE"/>
    <w:rsid w:val="009059A8"/>
    <w:rsid w:val="0090617F"/>
    <w:rsid w:val="009109F8"/>
    <w:rsid w:val="00913853"/>
    <w:rsid w:val="009148C4"/>
    <w:rsid w:val="00915B26"/>
    <w:rsid w:val="009179DD"/>
    <w:rsid w:val="00921FBA"/>
    <w:rsid w:val="00923368"/>
    <w:rsid w:val="009236DB"/>
    <w:rsid w:val="00923BD9"/>
    <w:rsid w:val="009241E7"/>
    <w:rsid w:val="00925425"/>
    <w:rsid w:val="009270D5"/>
    <w:rsid w:val="009300DC"/>
    <w:rsid w:val="00930B66"/>
    <w:rsid w:val="009314A8"/>
    <w:rsid w:val="00931911"/>
    <w:rsid w:val="009319BF"/>
    <w:rsid w:val="00933901"/>
    <w:rsid w:val="00933FB3"/>
    <w:rsid w:val="00934317"/>
    <w:rsid w:val="00935552"/>
    <w:rsid w:val="00936404"/>
    <w:rsid w:val="0094122C"/>
    <w:rsid w:val="00943431"/>
    <w:rsid w:val="0094725E"/>
    <w:rsid w:val="00953011"/>
    <w:rsid w:val="00955187"/>
    <w:rsid w:val="00955AB4"/>
    <w:rsid w:val="009615AF"/>
    <w:rsid w:val="0096219A"/>
    <w:rsid w:val="00962453"/>
    <w:rsid w:val="009624F0"/>
    <w:rsid w:val="00962EC2"/>
    <w:rsid w:val="00963D61"/>
    <w:rsid w:val="00964B8B"/>
    <w:rsid w:val="00965AF3"/>
    <w:rsid w:val="00967224"/>
    <w:rsid w:val="0096758F"/>
    <w:rsid w:val="00967B13"/>
    <w:rsid w:val="00971B5F"/>
    <w:rsid w:val="00972A51"/>
    <w:rsid w:val="009744A4"/>
    <w:rsid w:val="009766BA"/>
    <w:rsid w:val="00976A6D"/>
    <w:rsid w:val="009777B6"/>
    <w:rsid w:val="0098201C"/>
    <w:rsid w:val="00983601"/>
    <w:rsid w:val="009836BD"/>
    <w:rsid w:val="00984FD1"/>
    <w:rsid w:val="00985737"/>
    <w:rsid w:val="00985D6F"/>
    <w:rsid w:val="00986147"/>
    <w:rsid w:val="009861B2"/>
    <w:rsid w:val="00990CC9"/>
    <w:rsid w:val="00990F7A"/>
    <w:rsid w:val="0099189E"/>
    <w:rsid w:val="00991FCD"/>
    <w:rsid w:val="009923F2"/>
    <w:rsid w:val="009927E7"/>
    <w:rsid w:val="0099421D"/>
    <w:rsid w:val="0099524C"/>
    <w:rsid w:val="009978A9"/>
    <w:rsid w:val="00997DBA"/>
    <w:rsid w:val="009A0AD0"/>
    <w:rsid w:val="009A0C6B"/>
    <w:rsid w:val="009A0E8E"/>
    <w:rsid w:val="009A0F4D"/>
    <w:rsid w:val="009A1046"/>
    <w:rsid w:val="009A1119"/>
    <w:rsid w:val="009A24B4"/>
    <w:rsid w:val="009A397F"/>
    <w:rsid w:val="009A50E3"/>
    <w:rsid w:val="009A53BC"/>
    <w:rsid w:val="009A7BFB"/>
    <w:rsid w:val="009B6D9C"/>
    <w:rsid w:val="009B7849"/>
    <w:rsid w:val="009B79D1"/>
    <w:rsid w:val="009B7F64"/>
    <w:rsid w:val="009C1517"/>
    <w:rsid w:val="009C1967"/>
    <w:rsid w:val="009C3250"/>
    <w:rsid w:val="009C590C"/>
    <w:rsid w:val="009C5E01"/>
    <w:rsid w:val="009C60E3"/>
    <w:rsid w:val="009C61E1"/>
    <w:rsid w:val="009C642F"/>
    <w:rsid w:val="009C71C9"/>
    <w:rsid w:val="009C7F08"/>
    <w:rsid w:val="009D02CB"/>
    <w:rsid w:val="009D0666"/>
    <w:rsid w:val="009D0DB0"/>
    <w:rsid w:val="009D2972"/>
    <w:rsid w:val="009D3244"/>
    <w:rsid w:val="009D47AC"/>
    <w:rsid w:val="009E14A3"/>
    <w:rsid w:val="009E1C98"/>
    <w:rsid w:val="009E1F29"/>
    <w:rsid w:val="009E26ED"/>
    <w:rsid w:val="009E2AE0"/>
    <w:rsid w:val="009E3ACF"/>
    <w:rsid w:val="009E6B99"/>
    <w:rsid w:val="009F2070"/>
    <w:rsid w:val="009F2197"/>
    <w:rsid w:val="009F2DFF"/>
    <w:rsid w:val="009F3C45"/>
    <w:rsid w:val="009F3DA3"/>
    <w:rsid w:val="009F5CA2"/>
    <w:rsid w:val="009F6561"/>
    <w:rsid w:val="009F6E6E"/>
    <w:rsid w:val="00A0041E"/>
    <w:rsid w:val="00A02405"/>
    <w:rsid w:val="00A02974"/>
    <w:rsid w:val="00A04183"/>
    <w:rsid w:val="00A0629B"/>
    <w:rsid w:val="00A063C6"/>
    <w:rsid w:val="00A10846"/>
    <w:rsid w:val="00A1114B"/>
    <w:rsid w:val="00A11658"/>
    <w:rsid w:val="00A11D74"/>
    <w:rsid w:val="00A1217D"/>
    <w:rsid w:val="00A13DBA"/>
    <w:rsid w:val="00A15140"/>
    <w:rsid w:val="00A157FD"/>
    <w:rsid w:val="00A162E0"/>
    <w:rsid w:val="00A1691C"/>
    <w:rsid w:val="00A170AD"/>
    <w:rsid w:val="00A17889"/>
    <w:rsid w:val="00A225E8"/>
    <w:rsid w:val="00A22968"/>
    <w:rsid w:val="00A2377D"/>
    <w:rsid w:val="00A24293"/>
    <w:rsid w:val="00A25EC6"/>
    <w:rsid w:val="00A26E1D"/>
    <w:rsid w:val="00A274D0"/>
    <w:rsid w:val="00A27CEE"/>
    <w:rsid w:val="00A30A43"/>
    <w:rsid w:val="00A30ACC"/>
    <w:rsid w:val="00A34B57"/>
    <w:rsid w:val="00A36B29"/>
    <w:rsid w:val="00A41950"/>
    <w:rsid w:val="00A42DD4"/>
    <w:rsid w:val="00A435D3"/>
    <w:rsid w:val="00A43CFB"/>
    <w:rsid w:val="00A46E7D"/>
    <w:rsid w:val="00A47F6E"/>
    <w:rsid w:val="00A52B62"/>
    <w:rsid w:val="00A5447B"/>
    <w:rsid w:val="00A54538"/>
    <w:rsid w:val="00A54F4A"/>
    <w:rsid w:val="00A55044"/>
    <w:rsid w:val="00A57848"/>
    <w:rsid w:val="00A60503"/>
    <w:rsid w:val="00A62807"/>
    <w:rsid w:val="00A62937"/>
    <w:rsid w:val="00A6329E"/>
    <w:rsid w:val="00A63740"/>
    <w:rsid w:val="00A64E93"/>
    <w:rsid w:val="00A65BAC"/>
    <w:rsid w:val="00A65F9E"/>
    <w:rsid w:val="00A67979"/>
    <w:rsid w:val="00A7123A"/>
    <w:rsid w:val="00A739CB"/>
    <w:rsid w:val="00A75218"/>
    <w:rsid w:val="00A806D5"/>
    <w:rsid w:val="00A81372"/>
    <w:rsid w:val="00A81E7E"/>
    <w:rsid w:val="00A8305C"/>
    <w:rsid w:val="00A83798"/>
    <w:rsid w:val="00A8663C"/>
    <w:rsid w:val="00A86B75"/>
    <w:rsid w:val="00A86F8E"/>
    <w:rsid w:val="00A87F6D"/>
    <w:rsid w:val="00A90419"/>
    <w:rsid w:val="00A97374"/>
    <w:rsid w:val="00AA0CBD"/>
    <w:rsid w:val="00AA2996"/>
    <w:rsid w:val="00AA2D1E"/>
    <w:rsid w:val="00AA3E91"/>
    <w:rsid w:val="00AA3FB3"/>
    <w:rsid w:val="00AA545A"/>
    <w:rsid w:val="00AA6803"/>
    <w:rsid w:val="00AA6831"/>
    <w:rsid w:val="00AB063D"/>
    <w:rsid w:val="00AB22B1"/>
    <w:rsid w:val="00AB3697"/>
    <w:rsid w:val="00AB3F42"/>
    <w:rsid w:val="00AB5BDE"/>
    <w:rsid w:val="00AB6A50"/>
    <w:rsid w:val="00AB7894"/>
    <w:rsid w:val="00AB7A99"/>
    <w:rsid w:val="00AB7CD2"/>
    <w:rsid w:val="00AC2366"/>
    <w:rsid w:val="00AC305E"/>
    <w:rsid w:val="00AC3FA5"/>
    <w:rsid w:val="00AC4055"/>
    <w:rsid w:val="00AC4786"/>
    <w:rsid w:val="00AC4E4E"/>
    <w:rsid w:val="00AC5DCC"/>
    <w:rsid w:val="00AC63CE"/>
    <w:rsid w:val="00AC73D0"/>
    <w:rsid w:val="00AC7E51"/>
    <w:rsid w:val="00AD0751"/>
    <w:rsid w:val="00AD14AE"/>
    <w:rsid w:val="00AD22F6"/>
    <w:rsid w:val="00AD26ED"/>
    <w:rsid w:val="00AD32DA"/>
    <w:rsid w:val="00AD3E6C"/>
    <w:rsid w:val="00AD6F1F"/>
    <w:rsid w:val="00AD7139"/>
    <w:rsid w:val="00AE252F"/>
    <w:rsid w:val="00AE2A50"/>
    <w:rsid w:val="00AE2B17"/>
    <w:rsid w:val="00AE2BE3"/>
    <w:rsid w:val="00AE5675"/>
    <w:rsid w:val="00AF1E24"/>
    <w:rsid w:val="00AF1EC6"/>
    <w:rsid w:val="00AF23F3"/>
    <w:rsid w:val="00AF249C"/>
    <w:rsid w:val="00AF25A5"/>
    <w:rsid w:val="00AF3B10"/>
    <w:rsid w:val="00AF660C"/>
    <w:rsid w:val="00AF699D"/>
    <w:rsid w:val="00AF734B"/>
    <w:rsid w:val="00B0048B"/>
    <w:rsid w:val="00B0110F"/>
    <w:rsid w:val="00B024F4"/>
    <w:rsid w:val="00B02807"/>
    <w:rsid w:val="00B02C93"/>
    <w:rsid w:val="00B031BE"/>
    <w:rsid w:val="00B03847"/>
    <w:rsid w:val="00B05533"/>
    <w:rsid w:val="00B05BDA"/>
    <w:rsid w:val="00B0730A"/>
    <w:rsid w:val="00B10A08"/>
    <w:rsid w:val="00B12AD9"/>
    <w:rsid w:val="00B12AE1"/>
    <w:rsid w:val="00B15BA6"/>
    <w:rsid w:val="00B15BB4"/>
    <w:rsid w:val="00B15BE8"/>
    <w:rsid w:val="00B17920"/>
    <w:rsid w:val="00B20B82"/>
    <w:rsid w:val="00B22106"/>
    <w:rsid w:val="00B225FD"/>
    <w:rsid w:val="00B23FE1"/>
    <w:rsid w:val="00B25334"/>
    <w:rsid w:val="00B34FB5"/>
    <w:rsid w:val="00B3595B"/>
    <w:rsid w:val="00B36FC4"/>
    <w:rsid w:val="00B37AA1"/>
    <w:rsid w:val="00B40B8F"/>
    <w:rsid w:val="00B410E9"/>
    <w:rsid w:val="00B41556"/>
    <w:rsid w:val="00B42106"/>
    <w:rsid w:val="00B421EA"/>
    <w:rsid w:val="00B42673"/>
    <w:rsid w:val="00B433E3"/>
    <w:rsid w:val="00B438C4"/>
    <w:rsid w:val="00B43BF2"/>
    <w:rsid w:val="00B44D0E"/>
    <w:rsid w:val="00B4756D"/>
    <w:rsid w:val="00B5186A"/>
    <w:rsid w:val="00B51AF6"/>
    <w:rsid w:val="00B54132"/>
    <w:rsid w:val="00B5457F"/>
    <w:rsid w:val="00B54918"/>
    <w:rsid w:val="00B55316"/>
    <w:rsid w:val="00B5591E"/>
    <w:rsid w:val="00B55C8F"/>
    <w:rsid w:val="00B55FC0"/>
    <w:rsid w:val="00B617C5"/>
    <w:rsid w:val="00B61A10"/>
    <w:rsid w:val="00B63057"/>
    <w:rsid w:val="00B645DB"/>
    <w:rsid w:val="00B675E0"/>
    <w:rsid w:val="00B70F8B"/>
    <w:rsid w:val="00B73E87"/>
    <w:rsid w:val="00B7400F"/>
    <w:rsid w:val="00B749E4"/>
    <w:rsid w:val="00B7530B"/>
    <w:rsid w:val="00B77678"/>
    <w:rsid w:val="00B807E7"/>
    <w:rsid w:val="00B80A29"/>
    <w:rsid w:val="00B81097"/>
    <w:rsid w:val="00B810A2"/>
    <w:rsid w:val="00B814C4"/>
    <w:rsid w:val="00B81BB8"/>
    <w:rsid w:val="00B875F2"/>
    <w:rsid w:val="00B90B28"/>
    <w:rsid w:val="00B919DA"/>
    <w:rsid w:val="00B9414B"/>
    <w:rsid w:val="00B95ECE"/>
    <w:rsid w:val="00B96044"/>
    <w:rsid w:val="00B9624F"/>
    <w:rsid w:val="00B970D9"/>
    <w:rsid w:val="00B974C7"/>
    <w:rsid w:val="00B97759"/>
    <w:rsid w:val="00B97AC8"/>
    <w:rsid w:val="00BA3278"/>
    <w:rsid w:val="00BA3EFE"/>
    <w:rsid w:val="00BA4CC3"/>
    <w:rsid w:val="00BB0976"/>
    <w:rsid w:val="00BB0DAA"/>
    <w:rsid w:val="00BB23DD"/>
    <w:rsid w:val="00BB2FAD"/>
    <w:rsid w:val="00BB3F0B"/>
    <w:rsid w:val="00BB4113"/>
    <w:rsid w:val="00BB5143"/>
    <w:rsid w:val="00BB570D"/>
    <w:rsid w:val="00BC1BEC"/>
    <w:rsid w:val="00BC1EAE"/>
    <w:rsid w:val="00BC2443"/>
    <w:rsid w:val="00BC3408"/>
    <w:rsid w:val="00BC576D"/>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F14D1"/>
    <w:rsid w:val="00BF1871"/>
    <w:rsid w:val="00BF18BA"/>
    <w:rsid w:val="00BF4050"/>
    <w:rsid w:val="00BF6783"/>
    <w:rsid w:val="00BF68AB"/>
    <w:rsid w:val="00BF7C1F"/>
    <w:rsid w:val="00BF7CFE"/>
    <w:rsid w:val="00C000D7"/>
    <w:rsid w:val="00C00154"/>
    <w:rsid w:val="00C0159C"/>
    <w:rsid w:val="00C0207B"/>
    <w:rsid w:val="00C04E1E"/>
    <w:rsid w:val="00C055EF"/>
    <w:rsid w:val="00C06659"/>
    <w:rsid w:val="00C07AD8"/>
    <w:rsid w:val="00C106E6"/>
    <w:rsid w:val="00C14975"/>
    <w:rsid w:val="00C1568C"/>
    <w:rsid w:val="00C16194"/>
    <w:rsid w:val="00C17A93"/>
    <w:rsid w:val="00C204AA"/>
    <w:rsid w:val="00C220BA"/>
    <w:rsid w:val="00C226EB"/>
    <w:rsid w:val="00C25051"/>
    <w:rsid w:val="00C25708"/>
    <w:rsid w:val="00C3242C"/>
    <w:rsid w:val="00C361A5"/>
    <w:rsid w:val="00C36730"/>
    <w:rsid w:val="00C36AA9"/>
    <w:rsid w:val="00C36ABA"/>
    <w:rsid w:val="00C40040"/>
    <w:rsid w:val="00C42485"/>
    <w:rsid w:val="00C4288C"/>
    <w:rsid w:val="00C434B5"/>
    <w:rsid w:val="00C436D0"/>
    <w:rsid w:val="00C44A9B"/>
    <w:rsid w:val="00C452E3"/>
    <w:rsid w:val="00C454AC"/>
    <w:rsid w:val="00C46AB7"/>
    <w:rsid w:val="00C47A7C"/>
    <w:rsid w:val="00C51FED"/>
    <w:rsid w:val="00C52655"/>
    <w:rsid w:val="00C533CC"/>
    <w:rsid w:val="00C54461"/>
    <w:rsid w:val="00C55424"/>
    <w:rsid w:val="00C55549"/>
    <w:rsid w:val="00C55B9B"/>
    <w:rsid w:val="00C57785"/>
    <w:rsid w:val="00C57C10"/>
    <w:rsid w:val="00C60758"/>
    <w:rsid w:val="00C625F8"/>
    <w:rsid w:val="00C636F3"/>
    <w:rsid w:val="00C65FBA"/>
    <w:rsid w:val="00C66992"/>
    <w:rsid w:val="00C66D6B"/>
    <w:rsid w:val="00C70B53"/>
    <w:rsid w:val="00C70DCE"/>
    <w:rsid w:val="00C721B4"/>
    <w:rsid w:val="00C73054"/>
    <w:rsid w:val="00C73832"/>
    <w:rsid w:val="00C73D07"/>
    <w:rsid w:val="00C73D87"/>
    <w:rsid w:val="00C741D7"/>
    <w:rsid w:val="00C769BD"/>
    <w:rsid w:val="00C77049"/>
    <w:rsid w:val="00C77976"/>
    <w:rsid w:val="00C80008"/>
    <w:rsid w:val="00C817D1"/>
    <w:rsid w:val="00C81C06"/>
    <w:rsid w:val="00C82207"/>
    <w:rsid w:val="00C83601"/>
    <w:rsid w:val="00C84D47"/>
    <w:rsid w:val="00C9076A"/>
    <w:rsid w:val="00C91588"/>
    <w:rsid w:val="00C91E29"/>
    <w:rsid w:val="00C92699"/>
    <w:rsid w:val="00C95D5A"/>
    <w:rsid w:val="00CA261B"/>
    <w:rsid w:val="00CA4CAB"/>
    <w:rsid w:val="00CA4CD4"/>
    <w:rsid w:val="00CA5C10"/>
    <w:rsid w:val="00CA6644"/>
    <w:rsid w:val="00CA6E2D"/>
    <w:rsid w:val="00CB33E6"/>
    <w:rsid w:val="00CB5569"/>
    <w:rsid w:val="00CB5A31"/>
    <w:rsid w:val="00CB5C48"/>
    <w:rsid w:val="00CC0423"/>
    <w:rsid w:val="00CC153A"/>
    <w:rsid w:val="00CC153C"/>
    <w:rsid w:val="00CC1D7D"/>
    <w:rsid w:val="00CC27DE"/>
    <w:rsid w:val="00CC419B"/>
    <w:rsid w:val="00CC4883"/>
    <w:rsid w:val="00CC5BA7"/>
    <w:rsid w:val="00CC5E68"/>
    <w:rsid w:val="00CC5F26"/>
    <w:rsid w:val="00CC6415"/>
    <w:rsid w:val="00CC77CC"/>
    <w:rsid w:val="00CD1976"/>
    <w:rsid w:val="00CD2CE8"/>
    <w:rsid w:val="00CD38A6"/>
    <w:rsid w:val="00CD38BC"/>
    <w:rsid w:val="00CD3E1B"/>
    <w:rsid w:val="00CD5E85"/>
    <w:rsid w:val="00CD73BB"/>
    <w:rsid w:val="00CE00C8"/>
    <w:rsid w:val="00CE0A62"/>
    <w:rsid w:val="00CE15C9"/>
    <w:rsid w:val="00CE354D"/>
    <w:rsid w:val="00CE35BF"/>
    <w:rsid w:val="00CE37F2"/>
    <w:rsid w:val="00CE47D8"/>
    <w:rsid w:val="00CE63F3"/>
    <w:rsid w:val="00CE7AAD"/>
    <w:rsid w:val="00CF1AE0"/>
    <w:rsid w:val="00CF1D57"/>
    <w:rsid w:val="00CF392D"/>
    <w:rsid w:val="00CF4105"/>
    <w:rsid w:val="00CF4F7C"/>
    <w:rsid w:val="00CF602E"/>
    <w:rsid w:val="00CF7A3E"/>
    <w:rsid w:val="00CF7E18"/>
    <w:rsid w:val="00D004B1"/>
    <w:rsid w:val="00D0099C"/>
    <w:rsid w:val="00D039E9"/>
    <w:rsid w:val="00D050F8"/>
    <w:rsid w:val="00D05E53"/>
    <w:rsid w:val="00D06093"/>
    <w:rsid w:val="00D07FFA"/>
    <w:rsid w:val="00D10DDF"/>
    <w:rsid w:val="00D11772"/>
    <w:rsid w:val="00D11DA9"/>
    <w:rsid w:val="00D12198"/>
    <w:rsid w:val="00D128E1"/>
    <w:rsid w:val="00D147BF"/>
    <w:rsid w:val="00D16B34"/>
    <w:rsid w:val="00D20A25"/>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40598"/>
    <w:rsid w:val="00D41267"/>
    <w:rsid w:val="00D41FBF"/>
    <w:rsid w:val="00D430C5"/>
    <w:rsid w:val="00D432D7"/>
    <w:rsid w:val="00D432FB"/>
    <w:rsid w:val="00D43DAC"/>
    <w:rsid w:val="00D47BC3"/>
    <w:rsid w:val="00D47F75"/>
    <w:rsid w:val="00D500B5"/>
    <w:rsid w:val="00D50231"/>
    <w:rsid w:val="00D50B9E"/>
    <w:rsid w:val="00D5417D"/>
    <w:rsid w:val="00D54197"/>
    <w:rsid w:val="00D546CF"/>
    <w:rsid w:val="00D54EB6"/>
    <w:rsid w:val="00D569DA"/>
    <w:rsid w:val="00D57040"/>
    <w:rsid w:val="00D57C90"/>
    <w:rsid w:val="00D57FC6"/>
    <w:rsid w:val="00D61002"/>
    <w:rsid w:val="00D62D27"/>
    <w:rsid w:val="00D62F97"/>
    <w:rsid w:val="00D64430"/>
    <w:rsid w:val="00D7037F"/>
    <w:rsid w:val="00D70580"/>
    <w:rsid w:val="00D705BB"/>
    <w:rsid w:val="00D711A6"/>
    <w:rsid w:val="00D7149A"/>
    <w:rsid w:val="00D719ED"/>
    <w:rsid w:val="00D72E5F"/>
    <w:rsid w:val="00D7335F"/>
    <w:rsid w:val="00D73C15"/>
    <w:rsid w:val="00D77E82"/>
    <w:rsid w:val="00D8009A"/>
    <w:rsid w:val="00D8019F"/>
    <w:rsid w:val="00D81515"/>
    <w:rsid w:val="00D81786"/>
    <w:rsid w:val="00D819C6"/>
    <w:rsid w:val="00D82392"/>
    <w:rsid w:val="00D82AB8"/>
    <w:rsid w:val="00D840A7"/>
    <w:rsid w:val="00D85195"/>
    <w:rsid w:val="00D90C2C"/>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71C7"/>
    <w:rsid w:val="00DC7C15"/>
    <w:rsid w:val="00DC7D13"/>
    <w:rsid w:val="00DD2117"/>
    <w:rsid w:val="00DD478B"/>
    <w:rsid w:val="00DD53DD"/>
    <w:rsid w:val="00DD7096"/>
    <w:rsid w:val="00DD7861"/>
    <w:rsid w:val="00DE035C"/>
    <w:rsid w:val="00DE08F4"/>
    <w:rsid w:val="00DE1D81"/>
    <w:rsid w:val="00DE2B01"/>
    <w:rsid w:val="00DE430E"/>
    <w:rsid w:val="00DE451C"/>
    <w:rsid w:val="00DE5DE6"/>
    <w:rsid w:val="00DF12D9"/>
    <w:rsid w:val="00DF153C"/>
    <w:rsid w:val="00DF1D88"/>
    <w:rsid w:val="00DF33D6"/>
    <w:rsid w:val="00DF6841"/>
    <w:rsid w:val="00DF7707"/>
    <w:rsid w:val="00E031AA"/>
    <w:rsid w:val="00E034C9"/>
    <w:rsid w:val="00E03BCC"/>
    <w:rsid w:val="00E04370"/>
    <w:rsid w:val="00E0441E"/>
    <w:rsid w:val="00E044EB"/>
    <w:rsid w:val="00E04DFA"/>
    <w:rsid w:val="00E06ABF"/>
    <w:rsid w:val="00E07E2B"/>
    <w:rsid w:val="00E10154"/>
    <w:rsid w:val="00E11912"/>
    <w:rsid w:val="00E11AFD"/>
    <w:rsid w:val="00E13CE0"/>
    <w:rsid w:val="00E14AB2"/>
    <w:rsid w:val="00E14EF0"/>
    <w:rsid w:val="00E156C7"/>
    <w:rsid w:val="00E1582D"/>
    <w:rsid w:val="00E1736C"/>
    <w:rsid w:val="00E201A5"/>
    <w:rsid w:val="00E2076B"/>
    <w:rsid w:val="00E21081"/>
    <w:rsid w:val="00E2782A"/>
    <w:rsid w:val="00E31CB4"/>
    <w:rsid w:val="00E33CB9"/>
    <w:rsid w:val="00E349E1"/>
    <w:rsid w:val="00E362DA"/>
    <w:rsid w:val="00E36FCE"/>
    <w:rsid w:val="00E424B7"/>
    <w:rsid w:val="00E4355F"/>
    <w:rsid w:val="00E43645"/>
    <w:rsid w:val="00E43D58"/>
    <w:rsid w:val="00E46893"/>
    <w:rsid w:val="00E46B95"/>
    <w:rsid w:val="00E46E83"/>
    <w:rsid w:val="00E47668"/>
    <w:rsid w:val="00E50F00"/>
    <w:rsid w:val="00E52C77"/>
    <w:rsid w:val="00E5429B"/>
    <w:rsid w:val="00E5443A"/>
    <w:rsid w:val="00E5457B"/>
    <w:rsid w:val="00E54EDB"/>
    <w:rsid w:val="00E55F60"/>
    <w:rsid w:val="00E56544"/>
    <w:rsid w:val="00E57BCC"/>
    <w:rsid w:val="00E603F2"/>
    <w:rsid w:val="00E6066B"/>
    <w:rsid w:val="00E6106D"/>
    <w:rsid w:val="00E63364"/>
    <w:rsid w:val="00E63AE1"/>
    <w:rsid w:val="00E6480B"/>
    <w:rsid w:val="00E648B0"/>
    <w:rsid w:val="00E6630F"/>
    <w:rsid w:val="00E66731"/>
    <w:rsid w:val="00E6776A"/>
    <w:rsid w:val="00E706E2"/>
    <w:rsid w:val="00E7070A"/>
    <w:rsid w:val="00E720AC"/>
    <w:rsid w:val="00E759BE"/>
    <w:rsid w:val="00E7601A"/>
    <w:rsid w:val="00E7692D"/>
    <w:rsid w:val="00E77401"/>
    <w:rsid w:val="00E81CBA"/>
    <w:rsid w:val="00E83CF2"/>
    <w:rsid w:val="00E85D04"/>
    <w:rsid w:val="00E8678C"/>
    <w:rsid w:val="00E86ECE"/>
    <w:rsid w:val="00E9030E"/>
    <w:rsid w:val="00E90527"/>
    <w:rsid w:val="00E91AAA"/>
    <w:rsid w:val="00E9360D"/>
    <w:rsid w:val="00E9405A"/>
    <w:rsid w:val="00EA0000"/>
    <w:rsid w:val="00EA0197"/>
    <w:rsid w:val="00EA0214"/>
    <w:rsid w:val="00EA25FC"/>
    <w:rsid w:val="00EA28C3"/>
    <w:rsid w:val="00EA2ADB"/>
    <w:rsid w:val="00EA504D"/>
    <w:rsid w:val="00EA70B5"/>
    <w:rsid w:val="00EA7140"/>
    <w:rsid w:val="00EA785C"/>
    <w:rsid w:val="00EB01FB"/>
    <w:rsid w:val="00EB1BEE"/>
    <w:rsid w:val="00EB2B82"/>
    <w:rsid w:val="00EB5BFA"/>
    <w:rsid w:val="00EC05D9"/>
    <w:rsid w:val="00EC11EA"/>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77A"/>
    <w:rsid w:val="00ED5D84"/>
    <w:rsid w:val="00EE01EE"/>
    <w:rsid w:val="00EE0E35"/>
    <w:rsid w:val="00EE1F7C"/>
    <w:rsid w:val="00EE5378"/>
    <w:rsid w:val="00EE6551"/>
    <w:rsid w:val="00EE6D25"/>
    <w:rsid w:val="00EE7867"/>
    <w:rsid w:val="00EE7BDC"/>
    <w:rsid w:val="00EF1AF6"/>
    <w:rsid w:val="00EF1D6C"/>
    <w:rsid w:val="00EF293D"/>
    <w:rsid w:val="00EF310F"/>
    <w:rsid w:val="00EF43BB"/>
    <w:rsid w:val="00EF7432"/>
    <w:rsid w:val="00F00FCB"/>
    <w:rsid w:val="00F01213"/>
    <w:rsid w:val="00F01DF4"/>
    <w:rsid w:val="00F058B2"/>
    <w:rsid w:val="00F05B5B"/>
    <w:rsid w:val="00F10506"/>
    <w:rsid w:val="00F10B53"/>
    <w:rsid w:val="00F1313A"/>
    <w:rsid w:val="00F143A5"/>
    <w:rsid w:val="00F20795"/>
    <w:rsid w:val="00F2094B"/>
    <w:rsid w:val="00F2180C"/>
    <w:rsid w:val="00F23066"/>
    <w:rsid w:val="00F23082"/>
    <w:rsid w:val="00F230A1"/>
    <w:rsid w:val="00F23E6F"/>
    <w:rsid w:val="00F24ABE"/>
    <w:rsid w:val="00F2528B"/>
    <w:rsid w:val="00F25984"/>
    <w:rsid w:val="00F26A2D"/>
    <w:rsid w:val="00F2718A"/>
    <w:rsid w:val="00F30303"/>
    <w:rsid w:val="00F317D8"/>
    <w:rsid w:val="00F321CF"/>
    <w:rsid w:val="00F32803"/>
    <w:rsid w:val="00F3280D"/>
    <w:rsid w:val="00F32BA1"/>
    <w:rsid w:val="00F33510"/>
    <w:rsid w:val="00F34E37"/>
    <w:rsid w:val="00F35D67"/>
    <w:rsid w:val="00F361E9"/>
    <w:rsid w:val="00F362BD"/>
    <w:rsid w:val="00F363DE"/>
    <w:rsid w:val="00F37D7A"/>
    <w:rsid w:val="00F41605"/>
    <w:rsid w:val="00F4208A"/>
    <w:rsid w:val="00F44CA9"/>
    <w:rsid w:val="00F451C5"/>
    <w:rsid w:val="00F4587E"/>
    <w:rsid w:val="00F460DE"/>
    <w:rsid w:val="00F518EF"/>
    <w:rsid w:val="00F519E1"/>
    <w:rsid w:val="00F51AE5"/>
    <w:rsid w:val="00F534CE"/>
    <w:rsid w:val="00F545EC"/>
    <w:rsid w:val="00F553C4"/>
    <w:rsid w:val="00F57187"/>
    <w:rsid w:val="00F6317B"/>
    <w:rsid w:val="00F63457"/>
    <w:rsid w:val="00F636DA"/>
    <w:rsid w:val="00F6379B"/>
    <w:rsid w:val="00F64EFC"/>
    <w:rsid w:val="00F653D5"/>
    <w:rsid w:val="00F65C8F"/>
    <w:rsid w:val="00F66133"/>
    <w:rsid w:val="00F67945"/>
    <w:rsid w:val="00F71DD5"/>
    <w:rsid w:val="00F72EF7"/>
    <w:rsid w:val="00F732AA"/>
    <w:rsid w:val="00F736FF"/>
    <w:rsid w:val="00F73E10"/>
    <w:rsid w:val="00F753E2"/>
    <w:rsid w:val="00F75607"/>
    <w:rsid w:val="00F765FD"/>
    <w:rsid w:val="00F77C22"/>
    <w:rsid w:val="00F80843"/>
    <w:rsid w:val="00F81021"/>
    <w:rsid w:val="00F81058"/>
    <w:rsid w:val="00F83EF6"/>
    <w:rsid w:val="00F840DB"/>
    <w:rsid w:val="00F867B0"/>
    <w:rsid w:val="00F86E1D"/>
    <w:rsid w:val="00F870DB"/>
    <w:rsid w:val="00F92A27"/>
    <w:rsid w:val="00F94907"/>
    <w:rsid w:val="00F94B4B"/>
    <w:rsid w:val="00F94BAD"/>
    <w:rsid w:val="00F97DD1"/>
    <w:rsid w:val="00FA0264"/>
    <w:rsid w:val="00FA1658"/>
    <w:rsid w:val="00FA29DD"/>
    <w:rsid w:val="00FA3C80"/>
    <w:rsid w:val="00FA50BF"/>
    <w:rsid w:val="00FA58C8"/>
    <w:rsid w:val="00FB0C69"/>
    <w:rsid w:val="00FB0D77"/>
    <w:rsid w:val="00FB5CF2"/>
    <w:rsid w:val="00FB638A"/>
    <w:rsid w:val="00FB67CF"/>
    <w:rsid w:val="00FB70D3"/>
    <w:rsid w:val="00FB7B5D"/>
    <w:rsid w:val="00FC0DCE"/>
    <w:rsid w:val="00FC0F74"/>
    <w:rsid w:val="00FC3420"/>
    <w:rsid w:val="00FC6739"/>
    <w:rsid w:val="00FC726D"/>
    <w:rsid w:val="00FD0EA7"/>
    <w:rsid w:val="00FD1C16"/>
    <w:rsid w:val="00FD3129"/>
    <w:rsid w:val="00FD416B"/>
    <w:rsid w:val="00FD4819"/>
    <w:rsid w:val="00FD50A4"/>
    <w:rsid w:val="00FD73B2"/>
    <w:rsid w:val="00FD79A0"/>
    <w:rsid w:val="00FE056B"/>
    <w:rsid w:val="00FE139D"/>
    <w:rsid w:val="00FE33E1"/>
    <w:rsid w:val="00FE35B7"/>
    <w:rsid w:val="00FE36E3"/>
    <w:rsid w:val="00FE3E51"/>
    <w:rsid w:val="00FE4304"/>
    <w:rsid w:val="00FE4566"/>
    <w:rsid w:val="00FE5DB9"/>
    <w:rsid w:val="00FE710E"/>
    <w:rsid w:val="00FF0AE0"/>
    <w:rsid w:val="00FF2332"/>
    <w:rsid w:val="00FF33AC"/>
    <w:rsid w:val="00FF3C8E"/>
    <w:rsid w:val="028D5673"/>
    <w:rsid w:val="049C1B9D"/>
    <w:rsid w:val="05BB01E0"/>
    <w:rsid w:val="079A72B4"/>
    <w:rsid w:val="09125143"/>
    <w:rsid w:val="0A280EDB"/>
    <w:rsid w:val="0A6273E5"/>
    <w:rsid w:val="0B180109"/>
    <w:rsid w:val="0E561A26"/>
    <w:rsid w:val="0FA45C75"/>
    <w:rsid w:val="10F7591A"/>
    <w:rsid w:val="12C47BC2"/>
    <w:rsid w:val="14904B4F"/>
    <w:rsid w:val="14D0139F"/>
    <w:rsid w:val="169E77C3"/>
    <w:rsid w:val="188D1AD1"/>
    <w:rsid w:val="18BB3DE3"/>
    <w:rsid w:val="18E82269"/>
    <w:rsid w:val="190C6D9E"/>
    <w:rsid w:val="193F5D90"/>
    <w:rsid w:val="1A3D12D5"/>
    <w:rsid w:val="1AB07CF9"/>
    <w:rsid w:val="1D407957"/>
    <w:rsid w:val="1D7256DA"/>
    <w:rsid w:val="1F957D4E"/>
    <w:rsid w:val="2092257D"/>
    <w:rsid w:val="20C11F9E"/>
    <w:rsid w:val="21891489"/>
    <w:rsid w:val="24161AD9"/>
    <w:rsid w:val="2585737A"/>
    <w:rsid w:val="25D24FC7"/>
    <w:rsid w:val="26BE50DC"/>
    <w:rsid w:val="284101C7"/>
    <w:rsid w:val="2C6B1CD2"/>
    <w:rsid w:val="2F2D3901"/>
    <w:rsid w:val="3118172F"/>
    <w:rsid w:val="363D3B45"/>
    <w:rsid w:val="36EC6AFA"/>
    <w:rsid w:val="3833171A"/>
    <w:rsid w:val="39C537CC"/>
    <w:rsid w:val="3B0B4681"/>
    <w:rsid w:val="3C1D66FC"/>
    <w:rsid w:val="3E2508ED"/>
    <w:rsid w:val="3F23468E"/>
    <w:rsid w:val="42003C33"/>
    <w:rsid w:val="428F3B1C"/>
    <w:rsid w:val="44DA064F"/>
    <w:rsid w:val="4680081E"/>
    <w:rsid w:val="469678CB"/>
    <w:rsid w:val="472F4652"/>
    <w:rsid w:val="489108BA"/>
    <w:rsid w:val="49D205FB"/>
    <w:rsid w:val="4BDD29B6"/>
    <w:rsid w:val="4C2E3C34"/>
    <w:rsid w:val="4D4E69A3"/>
    <w:rsid w:val="4E6A5F38"/>
    <w:rsid w:val="4FD33DE2"/>
    <w:rsid w:val="52F67C97"/>
    <w:rsid w:val="53E36D11"/>
    <w:rsid w:val="54360DBC"/>
    <w:rsid w:val="568B40E3"/>
    <w:rsid w:val="58183EF6"/>
    <w:rsid w:val="59541B67"/>
    <w:rsid w:val="59822497"/>
    <w:rsid w:val="598A113A"/>
    <w:rsid w:val="59AA3DDB"/>
    <w:rsid w:val="5B5568BB"/>
    <w:rsid w:val="5B564DAB"/>
    <w:rsid w:val="5BBE156E"/>
    <w:rsid w:val="5BC50992"/>
    <w:rsid w:val="5BFF1A71"/>
    <w:rsid w:val="5D2F6ACB"/>
    <w:rsid w:val="5E155C5F"/>
    <w:rsid w:val="611B00ED"/>
    <w:rsid w:val="61243C22"/>
    <w:rsid w:val="63366E5E"/>
    <w:rsid w:val="641E6278"/>
    <w:rsid w:val="679D465C"/>
    <w:rsid w:val="67A07D7A"/>
    <w:rsid w:val="67D53581"/>
    <w:rsid w:val="68077DF9"/>
    <w:rsid w:val="68B277F8"/>
    <w:rsid w:val="69FA08E9"/>
    <w:rsid w:val="6AD65E7A"/>
    <w:rsid w:val="6BFD7559"/>
    <w:rsid w:val="6CF7419C"/>
    <w:rsid w:val="6E56043A"/>
    <w:rsid w:val="6E9677B5"/>
    <w:rsid w:val="70F969E6"/>
    <w:rsid w:val="71DC40A5"/>
    <w:rsid w:val="72750F69"/>
    <w:rsid w:val="72AA5DC0"/>
    <w:rsid w:val="748B769E"/>
    <w:rsid w:val="7715608F"/>
    <w:rsid w:val="78496C6A"/>
    <w:rsid w:val="78993E8E"/>
    <w:rsid w:val="797A6A48"/>
    <w:rsid w:val="7A837AEE"/>
    <w:rsid w:val="7B505574"/>
    <w:rsid w:val="7BC04C16"/>
    <w:rsid w:val="7CE45D9E"/>
    <w:rsid w:val="7FB80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autoRedefine/>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autoRedefine/>
    <w:semiHidden/>
    <w:unhideWhenUsed/>
    <w:qFormat/>
    <w:uiPriority w:val="99"/>
    <w:pPr>
      <w:jc w:val="left"/>
    </w:pPr>
  </w:style>
  <w:style w:type="paragraph" w:styleId="4">
    <w:name w:val="toc 3"/>
    <w:basedOn w:val="1"/>
    <w:next w:val="1"/>
    <w:autoRedefine/>
    <w:unhideWhenUsed/>
    <w:qFormat/>
    <w:uiPriority w:val="39"/>
    <w:pPr>
      <w:widowControl/>
      <w:spacing w:after="100" w:line="259" w:lineRule="auto"/>
      <w:ind w:left="440"/>
      <w:jc w:val="left"/>
    </w:pPr>
    <w:rPr>
      <w:rFonts w:ascii="等线" w:hAnsi="等线" w:eastAsia="等线" w:cs="Times New Roman"/>
      <w:kern w:val="0"/>
      <w:sz w:val="22"/>
    </w:rPr>
  </w:style>
  <w:style w:type="paragraph" w:styleId="5">
    <w:name w:val="Date"/>
    <w:basedOn w:val="1"/>
    <w:next w:val="1"/>
    <w:link w:val="18"/>
    <w:autoRedefine/>
    <w:semiHidden/>
    <w:unhideWhenUsed/>
    <w:qFormat/>
    <w:uiPriority w:val="99"/>
    <w:pPr>
      <w:ind w:left="100" w:leftChars="2500"/>
    </w:pPr>
  </w:style>
  <w:style w:type="paragraph" w:styleId="6">
    <w:name w:val="Balloon Text"/>
    <w:basedOn w:val="1"/>
    <w:link w:val="29"/>
    <w:autoRedefine/>
    <w:semiHidden/>
    <w:unhideWhenUsed/>
    <w:qFormat/>
    <w:uiPriority w:val="99"/>
    <w:rPr>
      <w:sz w:val="18"/>
      <w:szCs w:val="18"/>
    </w:rPr>
  </w:style>
  <w:style w:type="paragraph" w:styleId="7">
    <w:name w:val="footer"/>
    <w:basedOn w:val="1"/>
    <w:link w:val="21"/>
    <w:autoRedefine/>
    <w:unhideWhenUsed/>
    <w:qFormat/>
    <w:uiPriority w:val="99"/>
    <w:pPr>
      <w:tabs>
        <w:tab w:val="center" w:pos="4153"/>
        <w:tab w:val="right" w:pos="8306"/>
      </w:tabs>
      <w:snapToGrid w:val="0"/>
      <w:jc w:val="left"/>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pPr>
      <w:widowControl/>
      <w:spacing w:after="100" w:line="259" w:lineRule="auto"/>
      <w:jc w:val="left"/>
    </w:pPr>
    <w:rPr>
      <w:rFonts w:ascii="等线" w:hAnsi="等线" w:eastAsia="等线" w:cs="Times New Roman"/>
      <w:kern w:val="0"/>
      <w:sz w:val="22"/>
    </w:rPr>
  </w:style>
  <w:style w:type="paragraph" w:styleId="10">
    <w:name w:val="toc 2"/>
    <w:basedOn w:val="1"/>
    <w:next w:val="1"/>
    <w:autoRedefine/>
    <w:unhideWhenUsed/>
    <w:qFormat/>
    <w:uiPriority w:val="39"/>
    <w:pPr>
      <w:widowControl/>
      <w:spacing w:after="100" w:line="259" w:lineRule="auto"/>
      <w:ind w:left="220"/>
      <w:jc w:val="left"/>
    </w:pPr>
    <w:rPr>
      <w:rFonts w:ascii="等线" w:hAnsi="等线" w:eastAsia="等线" w:cs="Times New Roman"/>
      <w:kern w:val="0"/>
      <w:sz w:val="22"/>
    </w:rPr>
  </w:style>
  <w:style w:type="paragraph" w:styleId="11">
    <w:name w:val="Normal (Web)"/>
    <w:basedOn w:val="1"/>
    <w:qFormat/>
    <w:uiPriority w:val="0"/>
    <w:pPr>
      <w:jc w:val="left"/>
    </w:pPr>
    <w:rPr>
      <w:rFonts w:eastAsia="宋体" w:cs="Times New Roman"/>
      <w:kern w:val="0"/>
      <w:sz w:val="24"/>
      <w:szCs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FollowedHyperlink"/>
    <w:basedOn w:val="14"/>
    <w:autoRedefine/>
    <w:semiHidden/>
    <w:unhideWhenUsed/>
    <w:qFormat/>
    <w:uiPriority w:val="99"/>
    <w:rPr>
      <w:color w:val="333333"/>
      <w:u w:val="none"/>
    </w:rPr>
  </w:style>
  <w:style w:type="character" w:styleId="16">
    <w:name w:val="Hyperlink"/>
    <w:autoRedefine/>
    <w:unhideWhenUsed/>
    <w:qFormat/>
    <w:uiPriority w:val="99"/>
    <w:rPr>
      <w:color w:val="0563C1"/>
      <w:u w:val="single"/>
    </w:rPr>
  </w:style>
  <w:style w:type="character" w:styleId="17">
    <w:name w:val="annotation reference"/>
    <w:basedOn w:val="14"/>
    <w:autoRedefine/>
    <w:semiHidden/>
    <w:unhideWhenUsed/>
    <w:qFormat/>
    <w:uiPriority w:val="99"/>
    <w:rPr>
      <w:sz w:val="21"/>
      <w:szCs w:val="21"/>
    </w:rPr>
  </w:style>
  <w:style w:type="character" w:customStyle="1" w:styleId="18">
    <w:name w:val="日期 Char"/>
    <w:basedOn w:val="14"/>
    <w:link w:val="5"/>
    <w:semiHidden/>
    <w:qFormat/>
    <w:uiPriority w:val="99"/>
  </w:style>
  <w:style w:type="paragraph" w:styleId="19">
    <w:name w:val="List Paragraph"/>
    <w:basedOn w:val="1"/>
    <w:autoRedefine/>
    <w:qFormat/>
    <w:uiPriority w:val="99"/>
    <w:pPr>
      <w:ind w:firstLine="420" w:firstLineChars="200"/>
    </w:pPr>
  </w:style>
  <w:style w:type="character" w:customStyle="1" w:styleId="20">
    <w:name w:val="页眉 Char"/>
    <w:basedOn w:val="14"/>
    <w:link w:val="8"/>
    <w:autoRedefine/>
    <w:qFormat/>
    <w:uiPriority w:val="99"/>
    <w:rPr>
      <w:sz w:val="18"/>
      <w:szCs w:val="18"/>
    </w:rPr>
  </w:style>
  <w:style w:type="character" w:customStyle="1" w:styleId="21">
    <w:name w:val="页脚 Char"/>
    <w:basedOn w:val="14"/>
    <w:link w:val="7"/>
    <w:autoRedefine/>
    <w:qFormat/>
    <w:uiPriority w:val="99"/>
    <w:rPr>
      <w:sz w:val="18"/>
      <w:szCs w:val="18"/>
    </w:rPr>
  </w:style>
  <w:style w:type="character" w:customStyle="1" w:styleId="22">
    <w:name w:val="article-icon"/>
    <w:basedOn w:val="14"/>
    <w:qFormat/>
    <w:uiPriority w:val="0"/>
  </w:style>
  <w:style w:type="character" w:customStyle="1" w:styleId="23">
    <w:name w:val="hover14"/>
    <w:basedOn w:val="14"/>
    <w:autoRedefine/>
    <w:qFormat/>
    <w:uiPriority w:val="0"/>
    <w:rPr>
      <w:shd w:val="clear" w:color="auto" w:fill="929292"/>
    </w:rPr>
  </w:style>
  <w:style w:type="character" w:customStyle="1" w:styleId="24">
    <w:name w:val="hover"/>
    <w:basedOn w:val="14"/>
    <w:autoRedefine/>
    <w:qFormat/>
    <w:uiPriority w:val="0"/>
    <w:rPr>
      <w:shd w:val="clear" w:color="auto" w:fill="929292"/>
    </w:rPr>
  </w:style>
  <w:style w:type="character" w:customStyle="1" w:styleId="25">
    <w:name w:val="hover13"/>
    <w:basedOn w:val="14"/>
    <w:autoRedefine/>
    <w:qFormat/>
    <w:uiPriority w:val="0"/>
    <w:rPr>
      <w:shd w:val="clear" w:color="auto" w:fill="929292"/>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8">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29">
    <w:name w:val="批注框文本 Char"/>
    <w:basedOn w:val="14"/>
    <w:link w:val="6"/>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2439</Words>
  <Characters>13905</Characters>
  <Lines>115</Lines>
  <Paragraphs>32</Paragraphs>
  <TotalTime>0</TotalTime>
  <ScaleCrop>false</ScaleCrop>
  <LinksUpToDate>false</LinksUpToDate>
  <CharactersWithSpaces>16312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2023-12-22T03:09:00Z</dcterms:created>
  <dc:creator>Administrator</dc:creator>
  <cp:lastModifiedBy>Mango</cp:lastModifiedBy>
  <dcterms:modified xsi:type="dcterms:W3CDTF">2024-04-22T02:22:10Z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0ED4DE4A9D254C3C80F51D24B0842A79_12</vt:lpwstr>
  </property>
</Properties>
</file>