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44"/>
          <w:szCs w:val="44"/>
        </w:rPr>
      </w:pPr>
    </w:p>
    <w:p>
      <w:pPr>
        <w:jc w:val="center"/>
        <w:rPr>
          <w:sz w:val="44"/>
          <w:szCs w:val="44"/>
        </w:rPr>
      </w:pPr>
    </w:p>
    <w:p>
      <w:pPr>
        <w:jc w:val="center"/>
        <w:rPr>
          <w:sz w:val="44"/>
          <w:szCs w:val="44"/>
        </w:rPr>
      </w:pPr>
    </w:p>
    <w:p>
      <w:pPr>
        <w:jc w:val="center"/>
        <w:rPr>
          <w:rFonts w:ascii="宋体" w:hAnsi="宋体" w:eastAsia="宋体" w:cs="宋体"/>
          <w:b/>
          <w:bCs/>
          <w:sz w:val="44"/>
          <w:szCs w:val="44"/>
        </w:rPr>
      </w:pPr>
      <w:r>
        <w:rPr>
          <w:rFonts w:hint="eastAsia" w:ascii="宋体" w:hAnsi="宋体" w:eastAsia="宋体" w:cs="宋体"/>
          <w:b/>
          <w:bCs/>
          <w:sz w:val="44"/>
          <w:szCs w:val="44"/>
        </w:rPr>
        <w:t>赣州蓉江新区2022年赣州蓉江新城控制性详细规划编修工作项目支出绩效评价报告</w:t>
      </w:r>
    </w:p>
    <w:p>
      <w:pPr>
        <w:spacing w:line="600" w:lineRule="auto"/>
        <w:jc w:val="center"/>
        <w:rPr>
          <w:rFonts w:cs="仿宋" w:asciiTheme="majorEastAsia" w:hAnsiTheme="majorEastAsia" w:eastAsiaTheme="majorEastAsia"/>
          <w:sz w:val="28"/>
          <w:szCs w:val="28"/>
        </w:rPr>
      </w:pPr>
      <w:r>
        <w:rPr>
          <w:rFonts w:hint="eastAsia" w:cs="仿宋" w:asciiTheme="majorEastAsia" w:hAnsiTheme="majorEastAsia" w:eastAsiaTheme="majorEastAsia"/>
          <w:sz w:val="28"/>
          <w:szCs w:val="28"/>
        </w:rPr>
        <w:t>国众联咨报字﹝2024﹞第5-0032号</w:t>
      </w:r>
    </w:p>
    <w:p>
      <w:pPr>
        <w:jc w:val="center"/>
        <w:rPr>
          <w:rFonts w:cs="仿宋_GB2312" w:asciiTheme="majorEastAsia" w:hAnsiTheme="majorEastAsia" w:eastAsiaTheme="majorEastAsia"/>
          <w:sz w:val="28"/>
          <w:szCs w:val="28"/>
          <w:u w:val="single"/>
        </w:rPr>
      </w:pPr>
    </w:p>
    <w:p/>
    <w:p/>
    <w:p/>
    <w:p/>
    <w:p/>
    <w:p/>
    <w:p/>
    <w:p/>
    <w:p/>
    <w:p/>
    <w:p/>
    <w:p/>
    <w:p/>
    <w:p>
      <w:pPr>
        <w:ind w:left="1600" w:hanging="1600" w:hangingChars="500"/>
        <w:rPr>
          <w:rFonts w:ascii="仿宋" w:hAnsi="仿宋" w:eastAsia="仿宋"/>
          <w:sz w:val="32"/>
          <w:szCs w:val="32"/>
        </w:rPr>
      </w:pPr>
      <w:r>
        <w:rPr>
          <w:rFonts w:hint="eastAsia" w:ascii="仿宋" w:hAnsi="仿宋" w:eastAsia="仿宋"/>
          <w:sz w:val="32"/>
          <w:szCs w:val="32"/>
        </w:rPr>
        <w:t>项目名称：赣州蓉江新区2022年赣州蓉江新城控制性详细规划编修工作</w:t>
      </w:r>
    </w:p>
    <w:p>
      <w:pPr>
        <w:rPr>
          <w:rFonts w:ascii="仿宋" w:hAnsi="仿宋" w:eastAsia="仿宋"/>
          <w:sz w:val="32"/>
          <w:szCs w:val="32"/>
        </w:rPr>
      </w:pPr>
      <w:r>
        <w:rPr>
          <w:rFonts w:hint="eastAsia" w:ascii="仿宋" w:hAnsi="仿宋" w:eastAsia="仿宋"/>
          <w:sz w:val="32"/>
          <w:szCs w:val="32"/>
        </w:rPr>
        <w:t>项目单位：赣州市自然资源局蓉江新区分局</w:t>
      </w:r>
    </w:p>
    <w:p>
      <w:pPr>
        <w:rPr>
          <w:rFonts w:ascii="仿宋" w:hAnsi="仿宋" w:eastAsia="仿宋"/>
          <w:sz w:val="32"/>
          <w:szCs w:val="32"/>
        </w:rPr>
      </w:pPr>
      <w:r>
        <w:rPr>
          <w:rFonts w:hint="eastAsia" w:ascii="仿宋" w:hAnsi="仿宋" w:eastAsia="仿宋"/>
          <w:sz w:val="32"/>
          <w:szCs w:val="32"/>
        </w:rPr>
        <w:t>委托单位：赣州蓉江新区财政局</w:t>
      </w:r>
    </w:p>
    <w:p>
      <w:pPr>
        <w:rPr>
          <w:rFonts w:ascii="仿宋" w:hAnsi="仿宋" w:eastAsia="仿宋"/>
          <w:sz w:val="32"/>
          <w:szCs w:val="32"/>
        </w:rPr>
      </w:pPr>
      <w:r>
        <w:rPr>
          <w:rFonts w:hint="eastAsia" w:ascii="仿宋" w:hAnsi="仿宋" w:eastAsia="仿宋"/>
          <w:sz w:val="32"/>
          <w:szCs w:val="32"/>
        </w:rPr>
        <w:t>评价机构：国众联资产评估土地房地产估价有限公司</w:t>
      </w:r>
    </w:p>
    <w:p>
      <w:pPr>
        <w:rPr>
          <w:rFonts w:ascii="仿宋" w:hAnsi="仿宋" w:eastAsia="仿宋"/>
          <w:sz w:val="32"/>
          <w:szCs w:val="32"/>
        </w:rPr>
      </w:pPr>
      <w:r>
        <w:rPr>
          <w:rFonts w:hint="eastAsia" w:ascii="仿宋" w:hAnsi="仿宋" w:eastAsia="仿宋"/>
          <w:sz w:val="32"/>
          <w:szCs w:val="32"/>
        </w:rPr>
        <w:t>报告日期：二零二</w:t>
      </w:r>
      <w:r>
        <w:rPr>
          <w:rFonts w:hint="eastAsia" w:ascii="仿宋" w:hAnsi="仿宋" w:eastAsia="仿宋"/>
          <w:sz w:val="32"/>
          <w:szCs w:val="32"/>
          <w:lang w:val="en-US" w:eastAsia="zh-CN"/>
        </w:rPr>
        <w:t>三</w:t>
      </w:r>
      <w:r>
        <w:rPr>
          <w:rFonts w:hint="eastAsia" w:ascii="仿宋" w:hAnsi="仿宋" w:eastAsia="仿宋"/>
          <w:sz w:val="32"/>
          <w:szCs w:val="32"/>
        </w:rPr>
        <w:t>年</w:t>
      </w:r>
      <w:r>
        <w:rPr>
          <w:rFonts w:hint="eastAsia" w:ascii="仿宋" w:hAnsi="仿宋" w:eastAsia="仿宋"/>
          <w:sz w:val="32"/>
          <w:szCs w:val="32"/>
          <w:lang w:val="en-US" w:eastAsia="zh-CN"/>
        </w:rPr>
        <w:t>十二</w:t>
      </w:r>
      <w:r>
        <w:rPr>
          <w:rFonts w:hint="eastAsia" w:ascii="仿宋" w:hAnsi="仿宋" w:eastAsia="仿宋"/>
          <w:sz w:val="32"/>
          <w:szCs w:val="32"/>
        </w:rPr>
        <w:t>月</w:t>
      </w:r>
    </w:p>
    <w:p>
      <w:pPr>
        <w:jc w:val="center"/>
        <w:rPr>
          <w:b/>
          <w:sz w:val="30"/>
          <w:szCs w:val="30"/>
        </w:rPr>
      </w:pPr>
    </w:p>
    <w:p>
      <w:pPr>
        <w:spacing w:line="560" w:lineRule="exact"/>
        <w:rPr>
          <w:rFonts w:ascii="仿宋" w:hAnsi="仿宋" w:eastAsia="仿宋" w:cs="仿宋"/>
          <w:b/>
          <w:sz w:val="36"/>
          <w:szCs w:val="36"/>
        </w:rPr>
      </w:pPr>
    </w:p>
    <w:p>
      <w:pPr>
        <w:jc w:val="center"/>
        <w:rPr>
          <w:rFonts w:ascii="宋体" w:hAnsi="宋体" w:eastAsia="宋体" w:cs="宋体"/>
          <w:b/>
          <w:bCs/>
          <w:sz w:val="44"/>
          <w:szCs w:val="44"/>
        </w:rPr>
      </w:pPr>
      <w:r>
        <w:rPr>
          <w:rFonts w:hint="eastAsia" w:ascii="宋体" w:hAnsi="宋体" w:eastAsia="宋体" w:cs="宋体"/>
          <w:b/>
          <w:bCs/>
          <w:sz w:val="44"/>
          <w:szCs w:val="44"/>
        </w:rPr>
        <w:t>摘 要</w:t>
      </w:r>
    </w:p>
    <w:p>
      <w:pPr>
        <w:rPr>
          <w:rFonts w:ascii="仿宋" w:hAnsi="仿宋" w:eastAsia="仿宋" w:cs="仿宋"/>
          <w:b/>
          <w:bCs/>
          <w:sz w:val="32"/>
          <w:szCs w:val="32"/>
        </w:rPr>
      </w:pPr>
      <w:r>
        <w:rPr>
          <w:rFonts w:hint="eastAsia" w:ascii="仿宋" w:hAnsi="仿宋" w:eastAsia="仿宋" w:cs="仿宋"/>
          <w:b/>
          <w:bCs/>
          <w:sz w:val="32"/>
          <w:szCs w:val="32"/>
        </w:rPr>
        <w:t>一、项目实施概况</w:t>
      </w:r>
    </w:p>
    <w:p>
      <w:pPr>
        <w:ind w:firstLine="640" w:firstLineChars="200"/>
        <w:rPr>
          <w:rFonts w:ascii="仿宋" w:hAnsi="仿宋" w:eastAsia="仿宋"/>
          <w:sz w:val="32"/>
          <w:szCs w:val="32"/>
        </w:rPr>
      </w:pPr>
      <w:r>
        <w:rPr>
          <w:rFonts w:hint="eastAsia" w:ascii="仿宋" w:hAnsi="仿宋" w:eastAsia="仿宋"/>
          <w:sz w:val="32"/>
          <w:szCs w:val="32"/>
        </w:rPr>
        <w:t>赣州蓉江新区2022年赣州蓉江新城控制性详细规划编修工作项目为2022年度中期追加，由赣州市自然资源局蓉江新区分局负责项目实施，主要内容为：通过公开招标方式，采购对赣州环城高速以北和章江、章水围合区域，面积约77.03平方公里区域，进行包括总体研究内容和专项统筹内容的规划修编服务，在6个月内提交规划成果，通过验收。</w:t>
      </w:r>
    </w:p>
    <w:p>
      <w:pPr>
        <w:ind w:firstLine="640" w:firstLineChars="200"/>
        <w:rPr>
          <w:rFonts w:ascii="仿宋" w:hAnsi="仿宋" w:eastAsia="仿宋"/>
          <w:sz w:val="32"/>
          <w:szCs w:val="32"/>
        </w:rPr>
      </w:pPr>
      <w:r>
        <w:rPr>
          <w:rFonts w:hint="eastAsia" w:ascii="仿宋" w:hAnsi="仿宋" w:eastAsia="仿宋"/>
          <w:sz w:val="32"/>
          <w:szCs w:val="32"/>
        </w:rPr>
        <w:t>项目于2022年8月完成公开招投标工作，并于同月签订《规划编制服务合同》并开展前期调研工作；2022年9月至10月，完成了规划初步成果；2022年11月至12月，提交了规划中期成果，并获赣州市自然资源局蓉江新区分局组织的专家评审会通过。</w:t>
      </w:r>
    </w:p>
    <w:p>
      <w:pPr>
        <w:ind w:firstLine="640" w:firstLineChars="200"/>
        <w:rPr>
          <w:rFonts w:ascii="仿宋" w:hAnsi="仿宋" w:eastAsia="仿宋"/>
          <w:sz w:val="32"/>
          <w:szCs w:val="32"/>
        </w:rPr>
      </w:pPr>
      <w:r>
        <w:rPr>
          <w:rFonts w:hint="eastAsia" w:ascii="仿宋" w:hAnsi="仿宋" w:eastAsia="仿宋"/>
          <w:sz w:val="32"/>
          <w:szCs w:val="32"/>
        </w:rPr>
        <w:t>项目预算金额390万元，</w:t>
      </w:r>
      <w:r>
        <w:rPr>
          <w:rFonts w:hint="eastAsia" w:ascii="仿宋" w:hAnsi="仿宋" w:eastAsia="仿宋" w:cs="Times New Roman"/>
          <w:sz w:val="32"/>
          <w:szCs w:val="32"/>
        </w:rPr>
        <w:t>采购中标金额</w:t>
      </w:r>
      <w:r>
        <w:rPr>
          <w:rFonts w:hint="eastAsia" w:ascii="仿宋" w:hAnsi="仿宋" w:eastAsia="仿宋"/>
          <w:sz w:val="32"/>
          <w:szCs w:val="32"/>
        </w:rPr>
        <w:t>385</w:t>
      </w:r>
      <w:r>
        <w:rPr>
          <w:rFonts w:hint="eastAsia" w:ascii="仿宋" w:hAnsi="仿宋" w:eastAsia="仿宋" w:cs="Times New Roman"/>
          <w:sz w:val="32"/>
          <w:szCs w:val="32"/>
        </w:rPr>
        <w:t>万元，依照赣州蓉江新区管委会常务会【2022】10号会议纪要，编制经费列入2023年</w:t>
      </w:r>
      <w:r>
        <w:rPr>
          <w:rFonts w:hint="eastAsia" w:ascii="仿宋" w:hAnsi="仿宋" w:eastAsia="仿宋"/>
          <w:sz w:val="32"/>
          <w:szCs w:val="32"/>
        </w:rPr>
        <w:t>赣州市自然资源局蓉江新区分局年初部门预算</w:t>
      </w:r>
      <w:r>
        <w:rPr>
          <w:rFonts w:hint="eastAsia" w:ascii="仿宋" w:hAnsi="仿宋" w:eastAsia="仿宋" w:cs="Times New Roman"/>
          <w:sz w:val="32"/>
          <w:szCs w:val="32"/>
        </w:rPr>
        <w:t>。2022年实际支付服务费用100万元，经批准后从蓉江新区预留能级提升专项资金中列支。</w:t>
      </w:r>
    </w:p>
    <w:p>
      <w:pPr>
        <w:rPr>
          <w:rFonts w:ascii="仿宋" w:hAnsi="仿宋" w:eastAsia="仿宋" w:cs="仿宋"/>
          <w:b/>
          <w:bCs/>
          <w:sz w:val="32"/>
          <w:szCs w:val="32"/>
        </w:rPr>
      </w:pPr>
      <w:r>
        <w:rPr>
          <w:rFonts w:hint="eastAsia" w:ascii="仿宋" w:hAnsi="仿宋" w:eastAsia="仿宋" w:cs="仿宋"/>
          <w:b/>
          <w:bCs/>
          <w:sz w:val="32"/>
          <w:szCs w:val="32"/>
        </w:rPr>
        <w:t>二、评价结果</w:t>
      </w:r>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本次评价在资料查阅、现场调研及访谈基础上，对赣州蓉江新区2022年赣州蓉江新城控制性详细规划编修工作项目绩效进行逐项打分、客观评价，等级设为四档：90（含）-100分为优、80（含）-90分为良、60（含）-80分为中等、60分以下为差。最终评分结果：总得分为 94分，绩效评级为“优”。</w:t>
      </w:r>
    </w:p>
    <w:p>
      <w:pPr>
        <w:spacing w:line="56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10"/>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1536"/>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107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指标</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A.决策性指标</w:t>
            </w:r>
          </w:p>
        </w:tc>
        <w:tc>
          <w:tcPr>
            <w:tcW w:w="171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B.管理性指标</w:t>
            </w:r>
          </w:p>
        </w:tc>
        <w:tc>
          <w:tcPr>
            <w:tcW w:w="159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C.产出性指标</w:t>
            </w:r>
          </w:p>
        </w:tc>
        <w:tc>
          <w:tcPr>
            <w:tcW w:w="1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D.效果性指标</w:t>
            </w:r>
          </w:p>
        </w:tc>
        <w:tc>
          <w:tcPr>
            <w:tcW w:w="12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权重</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15</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25</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32</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28</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分值</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14</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20</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32</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28</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得分率</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93.33%</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80%</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100%</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100%</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94%</w:t>
            </w:r>
          </w:p>
        </w:tc>
      </w:tr>
    </w:tbl>
    <w:p/>
    <w:p>
      <w:pPr>
        <w:rPr>
          <w:rFonts w:ascii="仿宋" w:hAnsi="仿宋" w:eastAsia="仿宋" w:cs="仿宋"/>
          <w:b/>
          <w:bCs/>
          <w:sz w:val="32"/>
          <w:szCs w:val="32"/>
        </w:rPr>
      </w:pPr>
      <w:r>
        <w:rPr>
          <w:rFonts w:hint="eastAsia" w:ascii="仿宋" w:hAnsi="仿宋" w:eastAsia="仿宋" w:cs="仿宋"/>
          <w:b/>
          <w:bCs/>
          <w:sz w:val="32"/>
          <w:szCs w:val="32"/>
        </w:rPr>
        <w:t>三、存在的问题和建议</w:t>
      </w:r>
    </w:p>
    <w:p>
      <w:pPr>
        <w:rPr>
          <w:rFonts w:ascii="仿宋" w:hAnsi="仿宋" w:eastAsia="仿宋" w:cs="仿宋"/>
          <w:b/>
          <w:bCs/>
          <w:sz w:val="32"/>
          <w:szCs w:val="32"/>
        </w:rPr>
      </w:pPr>
      <w:r>
        <w:rPr>
          <w:rFonts w:hint="eastAsia" w:ascii="仿宋" w:hAnsi="仿宋" w:eastAsia="仿宋" w:cs="仿宋"/>
          <w:b/>
          <w:bCs/>
          <w:sz w:val="32"/>
          <w:szCs w:val="32"/>
        </w:rPr>
        <w:t>（一）存在的问题</w:t>
      </w:r>
    </w:p>
    <w:p>
      <w:pPr>
        <w:spacing w:line="560" w:lineRule="exact"/>
        <w:ind w:firstLine="573"/>
        <w:jc w:val="left"/>
        <w:rPr>
          <w:rFonts w:ascii="仿宋" w:hAnsi="仿宋" w:eastAsia="仿宋" w:cs="仿宋"/>
          <w:b/>
          <w:sz w:val="32"/>
          <w:szCs w:val="32"/>
        </w:rPr>
      </w:pPr>
      <w:r>
        <w:rPr>
          <w:rFonts w:hint="eastAsia" w:ascii="仿宋" w:hAnsi="仿宋" w:eastAsia="仿宋" w:cs="仿宋"/>
          <w:sz w:val="32"/>
          <w:szCs w:val="32"/>
        </w:rPr>
        <w:t>1、预算绩效管理工作方面存在不足。绩效目标管理工作有待改善，绩效指标设计不够科学合理。项目设置的时效指标与项目实施计划不对应，从而使得项目目标值成为不可能完成的任务，也反映出对绩效目标管理工作不够严谨和重视。</w:t>
      </w:r>
    </w:p>
    <w:p>
      <w:pPr>
        <w:spacing w:line="560" w:lineRule="exact"/>
        <w:ind w:firstLine="573"/>
        <w:jc w:val="left"/>
        <w:rPr>
          <w:rFonts w:ascii="仿宋" w:hAnsi="仿宋" w:eastAsia="仿宋" w:cs="仿宋"/>
          <w:sz w:val="32"/>
          <w:szCs w:val="32"/>
        </w:rPr>
      </w:pPr>
      <w:r>
        <w:rPr>
          <w:rFonts w:hint="eastAsia" w:ascii="仿宋" w:hAnsi="仿宋" w:eastAsia="仿宋" w:cs="仿宋"/>
          <w:sz w:val="32"/>
          <w:szCs w:val="32"/>
        </w:rPr>
        <w:t>2、项目实施管理方面存在不足。项目实施过程中，区自然资源分局未严格履行合同义务，按照合同约定及时、足额地支付项目服务费用。</w:t>
      </w:r>
    </w:p>
    <w:p>
      <w:pPr>
        <w:rPr>
          <w:rFonts w:ascii="仿宋" w:hAnsi="仿宋" w:eastAsia="仿宋" w:cs="仿宋"/>
          <w:b/>
          <w:bCs/>
          <w:sz w:val="32"/>
          <w:szCs w:val="32"/>
        </w:rPr>
      </w:pPr>
      <w:r>
        <w:rPr>
          <w:rFonts w:hint="eastAsia" w:ascii="仿宋" w:hAnsi="仿宋" w:eastAsia="仿宋" w:cs="仿宋"/>
          <w:b/>
          <w:bCs/>
          <w:sz w:val="32"/>
          <w:szCs w:val="32"/>
        </w:rPr>
        <w:t>（二）改进措施和建议</w:t>
      </w:r>
    </w:p>
    <w:p>
      <w:pPr>
        <w:spacing w:line="560" w:lineRule="exact"/>
        <w:ind w:firstLine="570"/>
        <w:jc w:val="left"/>
        <w:rPr>
          <w:rFonts w:ascii="仿宋" w:hAnsi="仿宋" w:eastAsia="仿宋" w:cs="仿宋"/>
          <w:sz w:val="32"/>
          <w:szCs w:val="32"/>
        </w:rPr>
      </w:pPr>
      <w:r>
        <w:rPr>
          <w:rFonts w:hint="eastAsia" w:ascii="仿宋" w:hAnsi="仿宋" w:eastAsia="仿宋" w:cs="仿宋"/>
          <w:sz w:val="32"/>
          <w:szCs w:val="32"/>
        </w:rPr>
        <w:t>1、加强预算绩效管理工作、提高绩效管理水平。严格按照《预算法》等相关文件要求，进一步强化预算绩效管理工作，切实履行预算绩效管理职责。</w:t>
      </w:r>
    </w:p>
    <w:p>
      <w:pPr>
        <w:spacing w:line="560" w:lineRule="exact"/>
        <w:ind w:firstLine="570"/>
        <w:jc w:val="left"/>
        <w:rPr>
          <w:rFonts w:ascii="仿宋" w:hAnsi="仿宋" w:eastAsia="仿宋" w:cs="仿宋"/>
          <w:b/>
          <w:bCs/>
          <w:sz w:val="28"/>
          <w:szCs w:val="28"/>
        </w:rPr>
      </w:pPr>
      <w:r>
        <w:rPr>
          <w:rFonts w:hint="eastAsia" w:ascii="仿宋" w:hAnsi="仿宋" w:eastAsia="仿宋" w:cs="仿宋"/>
          <w:sz w:val="32"/>
          <w:szCs w:val="32"/>
        </w:rPr>
        <w:t>2、提高项目管理水平、加强履约合规性。增强契约意识，严格遵守合同约定，切实履行合同义务，规避合同履约不当带来的风险。</w:t>
      </w:r>
    </w:p>
    <w:sdt>
      <w:sdtPr>
        <w:rPr>
          <w:rFonts w:ascii="宋体" w:hAnsi="宋体" w:eastAsia="宋体"/>
        </w:rPr>
        <w:id w:val="147466477"/>
        <w:docPartObj>
          <w:docPartGallery w:val="Table of Contents"/>
          <w:docPartUnique/>
        </w:docPartObj>
      </w:sdtPr>
      <w:sdtEndPr>
        <w:rPr>
          <w:rFonts w:ascii="仿宋" w:hAnsi="仿宋" w:eastAsia="仿宋"/>
          <w:b/>
          <w:szCs w:val="28"/>
        </w:rPr>
      </w:sdtEndPr>
      <w:sdtContent>
        <w:p>
          <w:pPr>
            <w:jc w:val="center"/>
            <w:rPr>
              <w:sz w:val="28"/>
              <w:szCs w:val="28"/>
            </w:rPr>
          </w:pPr>
          <w:r>
            <w:rPr>
              <w:rFonts w:ascii="宋体" w:hAnsi="宋体" w:eastAsia="宋体"/>
              <w:sz w:val="28"/>
              <w:szCs w:val="28"/>
            </w:rPr>
            <w:t>目录</w:t>
          </w:r>
        </w:p>
        <w:p>
          <w:pPr>
            <w:pStyle w:val="7"/>
            <w:tabs>
              <w:tab w:val="right" w:leader="dot" w:pos="8958"/>
            </w:tabs>
            <w:rPr>
              <w:sz w:val="28"/>
              <w:szCs w:val="28"/>
            </w:rPr>
          </w:pPr>
          <w:r>
            <w:rPr>
              <w:rFonts w:ascii="仿宋" w:hAnsi="仿宋" w:eastAsia="仿宋"/>
              <w:sz w:val="28"/>
              <w:szCs w:val="28"/>
            </w:rPr>
            <w:fldChar w:fldCharType="begin"/>
          </w:r>
          <w:r>
            <w:rPr>
              <w:rFonts w:ascii="仿宋" w:hAnsi="仿宋" w:eastAsia="仿宋"/>
              <w:sz w:val="28"/>
              <w:szCs w:val="28"/>
            </w:rPr>
            <w:instrText xml:space="preserve">TOC \o "1-2" \h \u </w:instrText>
          </w:r>
          <w:r>
            <w:rPr>
              <w:rFonts w:ascii="仿宋" w:hAnsi="仿宋" w:eastAsia="仿宋"/>
              <w:sz w:val="28"/>
              <w:szCs w:val="28"/>
            </w:rPr>
            <w:fldChar w:fldCharType="separate"/>
          </w:r>
          <w:r>
            <w:fldChar w:fldCharType="begin"/>
          </w:r>
          <w:r>
            <w:instrText xml:space="preserve"> HYPERLINK \l "_Toc15814" </w:instrText>
          </w:r>
          <w:r>
            <w:fldChar w:fldCharType="separate"/>
          </w:r>
          <w:r>
            <w:rPr>
              <w:rFonts w:hint="eastAsia" w:ascii="仿宋" w:hAnsi="仿宋" w:eastAsia="仿宋"/>
              <w:sz w:val="28"/>
              <w:szCs w:val="28"/>
            </w:rPr>
            <w:t>1、项目概述</w:t>
          </w:r>
          <w:r>
            <w:rPr>
              <w:sz w:val="28"/>
              <w:szCs w:val="28"/>
            </w:rPr>
            <w:tab/>
          </w:r>
          <w:r>
            <w:rPr>
              <w:sz w:val="28"/>
              <w:szCs w:val="28"/>
            </w:rPr>
            <w:fldChar w:fldCharType="begin"/>
          </w:r>
          <w:r>
            <w:rPr>
              <w:sz w:val="28"/>
              <w:szCs w:val="28"/>
            </w:rPr>
            <w:instrText xml:space="preserve"> PAGEREF _Toc15814 \h </w:instrText>
          </w:r>
          <w:r>
            <w:rPr>
              <w:sz w:val="28"/>
              <w:szCs w:val="28"/>
            </w:rPr>
            <w:fldChar w:fldCharType="separate"/>
          </w:r>
          <w:r>
            <w:rPr>
              <w:sz w:val="28"/>
              <w:szCs w:val="28"/>
            </w:rPr>
            <w:t>2</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"_Toc26789" </w:instrText>
          </w:r>
          <w:r>
            <w:fldChar w:fldCharType="separate"/>
          </w:r>
          <w:r>
            <w:rPr>
              <w:rFonts w:hint="eastAsia" w:ascii="仿宋" w:hAnsi="仿宋" w:eastAsia="仿宋"/>
              <w:sz w:val="28"/>
              <w:szCs w:val="28"/>
            </w:rPr>
            <w:t>1.1项目基本情况</w:t>
          </w:r>
          <w:r>
            <w:rPr>
              <w:sz w:val="28"/>
              <w:szCs w:val="28"/>
            </w:rPr>
            <w:tab/>
          </w:r>
          <w:r>
            <w:rPr>
              <w:sz w:val="28"/>
              <w:szCs w:val="28"/>
            </w:rPr>
            <w:fldChar w:fldCharType="begin"/>
          </w:r>
          <w:r>
            <w:rPr>
              <w:sz w:val="28"/>
              <w:szCs w:val="28"/>
            </w:rPr>
            <w:instrText xml:space="preserve"> PAGEREF _Toc26789 \h </w:instrText>
          </w:r>
          <w:r>
            <w:rPr>
              <w:sz w:val="28"/>
              <w:szCs w:val="28"/>
            </w:rPr>
            <w:fldChar w:fldCharType="separate"/>
          </w:r>
          <w:r>
            <w:rPr>
              <w:sz w:val="28"/>
              <w:szCs w:val="28"/>
            </w:rPr>
            <w:t>2</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"_Toc18913" </w:instrText>
          </w:r>
          <w:r>
            <w:fldChar w:fldCharType="separate"/>
          </w:r>
          <w:r>
            <w:rPr>
              <w:rFonts w:hint="eastAsia" w:ascii="仿宋" w:hAnsi="仿宋" w:eastAsia="仿宋"/>
              <w:sz w:val="28"/>
              <w:szCs w:val="28"/>
            </w:rPr>
            <w:t>1.2项目实施情况</w:t>
          </w:r>
          <w:r>
            <w:rPr>
              <w:sz w:val="28"/>
              <w:szCs w:val="28"/>
            </w:rPr>
            <w:tab/>
          </w:r>
          <w:r>
            <w:rPr>
              <w:sz w:val="28"/>
              <w:szCs w:val="28"/>
            </w:rPr>
            <w:fldChar w:fldCharType="begin"/>
          </w:r>
          <w:r>
            <w:rPr>
              <w:sz w:val="28"/>
              <w:szCs w:val="28"/>
            </w:rPr>
            <w:instrText xml:space="preserve"> PAGEREF _Toc18913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7"/>
            <w:tabs>
              <w:tab w:val="right" w:leader="dot" w:pos="8958"/>
            </w:tabs>
            <w:rPr>
              <w:sz w:val="28"/>
              <w:szCs w:val="28"/>
            </w:rPr>
          </w:pPr>
          <w:r>
            <w:fldChar w:fldCharType="begin"/>
          </w:r>
          <w:r>
            <w:instrText xml:space="preserve"> HYPERLINK \l "_Toc18" </w:instrText>
          </w:r>
          <w:r>
            <w:fldChar w:fldCharType="separate"/>
          </w:r>
          <w:r>
            <w:rPr>
              <w:rFonts w:hint="eastAsia" w:ascii="仿宋" w:hAnsi="仿宋" w:eastAsia="仿宋"/>
              <w:sz w:val="28"/>
              <w:szCs w:val="28"/>
            </w:rPr>
            <w:t>2、</w:t>
          </w:r>
          <w:r>
            <w:rPr>
              <w:rFonts w:hint="eastAsia" w:ascii="仿宋" w:hAnsi="仿宋" w:eastAsia="仿宋" w:cs="仿宋"/>
              <w:sz w:val="28"/>
              <w:szCs w:val="28"/>
            </w:rPr>
            <w:t>绩效评价工作情况</w:t>
          </w:r>
          <w:r>
            <w:rPr>
              <w:sz w:val="28"/>
              <w:szCs w:val="28"/>
            </w:rPr>
            <w:tab/>
          </w:r>
          <w:r>
            <w:rPr>
              <w:sz w:val="28"/>
              <w:szCs w:val="28"/>
            </w:rPr>
            <w:fldChar w:fldCharType="begin"/>
          </w:r>
          <w:r>
            <w:rPr>
              <w:sz w:val="28"/>
              <w:szCs w:val="28"/>
            </w:rPr>
            <w:instrText xml:space="preserve"> PAGEREF _Toc18 \h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"_Toc4482" </w:instrText>
          </w:r>
          <w:r>
            <w:fldChar w:fldCharType="separate"/>
          </w:r>
          <w:r>
            <w:rPr>
              <w:rFonts w:hint="eastAsia" w:ascii="仿宋" w:hAnsi="仿宋" w:eastAsia="仿宋"/>
              <w:sz w:val="28"/>
              <w:szCs w:val="28"/>
            </w:rPr>
            <w:t>2.1绩效评价目的</w:t>
          </w:r>
          <w:r>
            <w:rPr>
              <w:sz w:val="28"/>
              <w:szCs w:val="28"/>
            </w:rPr>
            <w:tab/>
          </w:r>
          <w:r>
            <w:rPr>
              <w:sz w:val="28"/>
              <w:szCs w:val="28"/>
            </w:rPr>
            <w:fldChar w:fldCharType="begin"/>
          </w:r>
          <w:r>
            <w:rPr>
              <w:sz w:val="28"/>
              <w:szCs w:val="28"/>
            </w:rPr>
            <w:instrText xml:space="preserve"> PAGEREF _Toc4482 \h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"_Toc15388" </w:instrText>
          </w:r>
          <w:r>
            <w:fldChar w:fldCharType="separate"/>
          </w:r>
          <w:r>
            <w:rPr>
              <w:rFonts w:hint="eastAsia" w:ascii="仿宋" w:hAnsi="仿宋" w:eastAsia="仿宋"/>
              <w:sz w:val="28"/>
              <w:szCs w:val="28"/>
            </w:rPr>
            <w:t>2.2绩效评价工作方案制定过程</w:t>
          </w:r>
          <w:r>
            <w:rPr>
              <w:sz w:val="28"/>
              <w:szCs w:val="28"/>
            </w:rPr>
            <w:tab/>
          </w:r>
          <w:r>
            <w:rPr>
              <w:sz w:val="28"/>
              <w:szCs w:val="28"/>
            </w:rPr>
            <w:fldChar w:fldCharType="begin"/>
          </w:r>
          <w:r>
            <w:rPr>
              <w:sz w:val="28"/>
              <w:szCs w:val="28"/>
            </w:rPr>
            <w:instrText xml:space="preserve"> PAGEREF _Toc15388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"_Toc28350" </w:instrText>
          </w:r>
          <w:r>
            <w:fldChar w:fldCharType="separate"/>
          </w:r>
          <w:r>
            <w:rPr>
              <w:rFonts w:hint="eastAsia" w:ascii="仿宋" w:hAnsi="仿宋" w:eastAsia="仿宋"/>
              <w:sz w:val="28"/>
              <w:szCs w:val="28"/>
            </w:rPr>
            <w:t>2.3绩效评价原则、评价方法、评价依据等</w:t>
          </w:r>
          <w:r>
            <w:rPr>
              <w:sz w:val="28"/>
              <w:szCs w:val="28"/>
            </w:rPr>
            <w:tab/>
          </w:r>
          <w:r>
            <w:rPr>
              <w:sz w:val="28"/>
              <w:szCs w:val="28"/>
            </w:rPr>
            <w:fldChar w:fldCharType="begin"/>
          </w:r>
          <w:r>
            <w:rPr>
              <w:sz w:val="28"/>
              <w:szCs w:val="28"/>
            </w:rPr>
            <w:instrText xml:space="preserve"> PAGEREF _Toc28350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7"/>
            <w:tabs>
              <w:tab w:val="right" w:leader="dot" w:pos="8958"/>
            </w:tabs>
            <w:rPr>
              <w:sz w:val="28"/>
              <w:szCs w:val="28"/>
            </w:rPr>
          </w:pPr>
          <w:r>
            <w:fldChar w:fldCharType="begin"/>
          </w:r>
          <w:r>
            <w:instrText xml:space="preserve"> HYPERLINK \l "_Toc4596" </w:instrText>
          </w:r>
          <w:r>
            <w:fldChar w:fldCharType="separate"/>
          </w:r>
          <w:r>
            <w:rPr>
              <w:rFonts w:hint="eastAsia" w:ascii="仿宋" w:hAnsi="仿宋" w:eastAsia="仿宋"/>
              <w:sz w:val="28"/>
              <w:szCs w:val="28"/>
            </w:rPr>
            <w:t>3、具体绩效分析</w:t>
          </w:r>
          <w:r>
            <w:rPr>
              <w:sz w:val="28"/>
              <w:szCs w:val="28"/>
            </w:rPr>
            <w:tab/>
          </w:r>
          <w:r>
            <w:rPr>
              <w:sz w:val="28"/>
              <w:szCs w:val="28"/>
            </w:rPr>
            <w:fldChar w:fldCharType="begin"/>
          </w:r>
          <w:r>
            <w:rPr>
              <w:sz w:val="28"/>
              <w:szCs w:val="28"/>
            </w:rPr>
            <w:instrText xml:space="preserve"> PAGEREF _Toc4596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"_Toc16305" </w:instrText>
          </w:r>
          <w:r>
            <w:fldChar w:fldCharType="separate"/>
          </w:r>
          <w:r>
            <w:rPr>
              <w:rFonts w:hint="eastAsia" w:ascii="仿宋" w:hAnsi="仿宋" w:eastAsia="仿宋" w:cs="仿宋"/>
              <w:sz w:val="28"/>
              <w:szCs w:val="28"/>
            </w:rPr>
            <w:t>3.1项目决策性指标类</w:t>
          </w:r>
          <w:r>
            <w:rPr>
              <w:sz w:val="28"/>
              <w:szCs w:val="28"/>
            </w:rPr>
            <w:tab/>
          </w:r>
          <w:r>
            <w:rPr>
              <w:sz w:val="28"/>
              <w:szCs w:val="28"/>
            </w:rPr>
            <w:fldChar w:fldCharType="begin"/>
          </w:r>
          <w:r>
            <w:rPr>
              <w:sz w:val="28"/>
              <w:szCs w:val="28"/>
            </w:rPr>
            <w:instrText xml:space="preserve"> PAGEREF _Toc16305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"_Toc22088" </w:instrText>
          </w:r>
          <w:r>
            <w:fldChar w:fldCharType="separate"/>
          </w:r>
          <w:r>
            <w:rPr>
              <w:rFonts w:hint="eastAsia" w:ascii="仿宋" w:hAnsi="仿宋" w:eastAsia="仿宋" w:cs="仿宋"/>
              <w:sz w:val="28"/>
              <w:szCs w:val="28"/>
            </w:rPr>
            <w:t>3.2项目管理性指标类</w:t>
          </w:r>
          <w:r>
            <w:rPr>
              <w:sz w:val="28"/>
              <w:szCs w:val="28"/>
            </w:rPr>
            <w:tab/>
          </w:r>
          <w:r>
            <w:rPr>
              <w:sz w:val="28"/>
              <w:szCs w:val="28"/>
            </w:rPr>
            <w:fldChar w:fldCharType="begin"/>
          </w:r>
          <w:r>
            <w:rPr>
              <w:sz w:val="28"/>
              <w:szCs w:val="28"/>
            </w:rPr>
            <w:instrText xml:space="preserve"> PAGEREF _Toc22088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"_Toc16715" </w:instrText>
          </w:r>
          <w:r>
            <w:fldChar w:fldCharType="separate"/>
          </w:r>
          <w:r>
            <w:rPr>
              <w:rFonts w:hint="eastAsia" w:ascii="仿宋" w:hAnsi="仿宋" w:eastAsia="仿宋" w:cs="仿宋"/>
              <w:sz w:val="28"/>
              <w:szCs w:val="28"/>
            </w:rPr>
            <w:t>3.3项目产出性指标类</w:t>
          </w:r>
          <w:r>
            <w:rPr>
              <w:sz w:val="28"/>
              <w:szCs w:val="28"/>
            </w:rPr>
            <w:tab/>
          </w:r>
          <w:r>
            <w:rPr>
              <w:sz w:val="28"/>
              <w:szCs w:val="28"/>
            </w:rPr>
            <w:fldChar w:fldCharType="begin"/>
          </w:r>
          <w:r>
            <w:rPr>
              <w:sz w:val="28"/>
              <w:szCs w:val="28"/>
            </w:rPr>
            <w:instrText xml:space="preserve"> PAGEREF _Toc16715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"_Toc2397" </w:instrText>
          </w:r>
          <w:r>
            <w:fldChar w:fldCharType="separate"/>
          </w:r>
          <w:r>
            <w:rPr>
              <w:rFonts w:hint="eastAsia" w:ascii="仿宋" w:hAnsi="仿宋" w:eastAsia="仿宋" w:cs="仿宋"/>
              <w:sz w:val="28"/>
              <w:szCs w:val="28"/>
            </w:rPr>
            <w:t>3.4项目效果性指标类</w:t>
          </w:r>
          <w:r>
            <w:rPr>
              <w:sz w:val="28"/>
              <w:szCs w:val="28"/>
            </w:rPr>
            <w:tab/>
          </w:r>
          <w:r>
            <w:rPr>
              <w:sz w:val="28"/>
              <w:szCs w:val="28"/>
            </w:rPr>
            <w:fldChar w:fldCharType="begin"/>
          </w:r>
          <w:r>
            <w:rPr>
              <w:sz w:val="28"/>
              <w:szCs w:val="28"/>
            </w:rPr>
            <w:instrText xml:space="preserve"> PAGEREF _Toc2397 \h </w:instrText>
          </w:r>
          <w:r>
            <w:rPr>
              <w:sz w:val="28"/>
              <w:szCs w:val="28"/>
            </w:rPr>
            <w:fldChar w:fldCharType="separate"/>
          </w:r>
          <w:r>
            <w:rPr>
              <w:sz w:val="28"/>
              <w:szCs w:val="28"/>
            </w:rPr>
            <w:t>15</w:t>
          </w:r>
          <w:r>
            <w:rPr>
              <w:sz w:val="28"/>
              <w:szCs w:val="28"/>
            </w:rPr>
            <w:fldChar w:fldCharType="end"/>
          </w:r>
          <w:r>
            <w:rPr>
              <w:sz w:val="28"/>
              <w:szCs w:val="28"/>
            </w:rPr>
            <w:fldChar w:fldCharType="end"/>
          </w:r>
        </w:p>
        <w:p>
          <w:pPr>
            <w:pStyle w:val="7"/>
            <w:tabs>
              <w:tab w:val="right" w:leader="dot" w:pos="8958"/>
            </w:tabs>
            <w:rPr>
              <w:sz w:val="28"/>
              <w:szCs w:val="28"/>
            </w:rPr>
          </w:pPr>
          <w:r>
            <w:fldChar w:fldCharType="begin"/>
          </w:r>
          <w:r>
            <w:instrText xml:space="preserve"> HYPERLINK \l "_Toc5507" </w:instrText>
          </w:r>
          <w:r>
            <w:fldChar w:fldCharType="separate"/>
          </w:r>
          <w:r>
            <w:rPr>
              <w:rFonts w:hint="eastAsia" w:ascii="仿宋" w:hAnsi="仿宋" w:eastAsia="仿宋" w:cs="仿宋"/>
              <w:sz w:val="28"/>
              <w:szCs w:val="28"/>
            </w:rPr>
            <w:t>4、 绩效评价结果</w:t>
          </w:r>
          <w:r>
            <w:rPr>
              <w:sz w:val="28"/>
              <w:szCs w:val="28"/>
            </w:rPr>
            <w:tab/>
          </w:r>
          <w:r>
            <w:rPr>
              <w:sz w:val="28"/>
              <w:szCs w:val="28"/>
            </w:rPr>
            <w:fldChar w:fldCharType="begin"/>
          </w:r>
          <w:r>
            <w:rPr>
              <w:sz w:val="28"/>
              <w:szCs w:val="28"/>
            </w:rPr>
            <w:instrText xml:space="preserve"> PAGEREF _Toc5507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7"/>
            <w:tabs>
              <w:tab w:val="right" w:leader="dot" w:pos="8958"/>
            </w:tabs>
            <w:rPr>
              <w:sz w:val="28"/>
              <w:szCs w:val="28"/>
            </w:rPr>
          </w:pPr>
          <w:r>
            <w:fldChar w:fldCharType="begin"/>
          </w:r>
          <w:r>
            <w:instrText xml:space="preserve"> HYPERLINK \l "_Toc1264" </w:instrText>
          </w:r>
          <w:r>
            <w:fldChar w:fldCharType="separate"/>
          </w:r>
          <w:r>
            <w:rPr>
              <w:rFonts w:hint="eastAsia" w:ascii="仿宋" w:hAnsi="仿宋" w:eastAsia="仿宋" w:cs="仿宋"/>
              <w:sz w:val="28"/>
              <w:szCs w:val="28"/>
            </w:rPr>
            <w:t>5、存在的问题</w:t>
          </w:r>
          <w:r>
            <w:rPr>
              <w:sz w:val="28"/>
              <w:szCs w:val="28"/>
            </w:rPr>
            <w:tab/>
          </w:r>
          <w:r>
            <w:rPr>
              <w:sz w:val="28"/>
              <w:szCs w:val="28"/>
            </w:rPr>
            <w:fldChar w:fldCharType="begin"/>
          </w:r>
          <w:r>
            <w:rPr>
              <w:sz w:val="28"/>
              <w:szCs w:val="28"/>
            </w:rPr>
            <w:instrText xml:space="preserve"> PAGEREF _Toc1264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"_Toc30783" </w:instrText>
          </w:r>
          <w:r>
            <w:fldChar w:fldCharType="separate"/>
          </w:r>
          <w:r>
            <w:rPr>
              <w:rFonts w:hint="eastAsia" w:ascii="仿宋" w:hAnsi="仿宋" w:eastAsia="仿宋" w:cs="仿宋"/>
              <w:sz w:val="28"/>
              <w:szCs w:val="28"/>
            </w:rPr>
            <w:t>5.1预算绩效管理工作方面存在不足</w:t>
          </w:r>
          <w:r>
            <w:rPr>
              <w:sz w:val="28"/>
              <w:szCs w:val="28"/>
            </w:rPr>
            <w:tab/>
          </w:r>
          <w:r>
            <w:rPr>
              <w:sz w:val="28"/>
              <w:szCs w:val="28"/>
            </w:rPr>
            <w:fldChar w:fldCharType="begin"/>
          </w:r>
          <w:r>
            <w:rPr>
              <w:sz w:val="28"/>
              <w:szCs w:val="28"/>
            </w:rPr>
            <w:instrText xml:space="preserve"> PAGEREF _Toc30783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"_Toc8700" </w:instrText>
          </w:r>
          <w:r>
            <w:fldChar w:fldCharType="separate"/>
          </w:r>
          <w:r>
            <w:rPr>
              <w:rFonts w:hint="eastAsia" w:ascii="仿宋" w:hAnsi="仿宋" w:eastAsia="仿宋" w:cs="仿宋"/>
              <w:sz w:val="28"/>
              <w:szCs w:val="28"/>
            </w:rPr>
            <w:t>5.2项目实施管理方面存在不足</w:t>
          </w:r>
          <w:r>
            <w:rPr>
              <w:sz w:val="28"/>
              <w:szCs w:val="28"/>
            </w:rPr>
            <w:tab/>
          </w:r>
          <w:r>
            <w:rPr>
              <w:sz w:val="28"/>
              <w:szCs w:val="28"/>
            </w:rPr>
            <w:fldChar w:fldCharType="begin"/>
          </w:r>
          <w:r>
            <w:rPr>
              <w:sz w:val="28"/>
              <w:szCs w:val="28"/>
            </w:rPr>
            <w:instrText xml:space="preserve"> PAGEREF _Toc8700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7"/>
            <w:tabs>
              <w:tab w:val="right" w:leader="dot" w:pos="8958"/>
            </w:tabs>
            <w:rPr>
              <w:sz w:val="28"/>
              <w:szCs w:val="28"/>
            </w:rPr>
          </w:pPr>
          <w:r>
            <w:fldChar w:fldCharType="begin"/>
          </w:r>
          <w:r>
            <w:instrText xml:space="preserve"> HYPERLINK \l "_Toc121" </w:instrText>
          </w:r>
          <w:r>
            <w:fldChar w:fldCharType="separate"/>
          </w:r>
          <w:r>
            <w:rPr>
              <w:rFonts w:hint="eastAsia" w:ascii="仿宋" w:hAnsi="仿宋" w:eastAsia="仿宋" w:cs="仿宋"/>
              <w:sz w:val="28"/>
              <w:szCs w:val="28"/>
            </w:rPr>
            <w:t>6、改进措施和建议</w:t>
          </w:r>
          <w:r>
            <w:rPr>
              <w:sz w:val="28"/>
              <w:szCs w:val="28"/>
            </w:rPr>
            <w:tab/>
          </w:r>
          <w:r>
            <w:rPr>
              <w:sz w:val="28"/>
              <w:szCs w:val="28"/>
            </w:rPr>
            <w:fldChar w:fldCharType="begin"/>
          </w:r>
          <w:r>
            <w:rPr>
              <w:sz w:val="28"/>
              <w:szCs w:val="28"/>
            </w:rPr>
            <w:instrText xml:space="preserve"> PAGEREF _Toc121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"_Toc24027" </w:instrText>
          </w:r>
          <w:r>
            <w:fldChar w:fldCharType="separate"/>
          </w:r>
          <w:r>
            <w:rPr>
              <w:rFonts w:hint="eastAsia" w:ascii="仿宋" w:hAnsi="仿宋" w:eastAsia="仿宋" w:cs="仿宋"/>
              <w:sz w:val="28"/>
              <w:szCs w:val="28"/>
            </w:rPr>
            <w:t>6.1加强预算绩效管理工作、提高绩效管理水平</w:t>
          </w:r>
          <w:r>
            <w:rPr>
              <w:sz w:val="28"/>
              <w:szCs w:val="28"/>
            </w:rPr>
            <w:tab/>
          </w:r>
          <w:r>
            <w:rPr>
              <w:sz w:val="28"/>
              <w:szCs w:val="28"/>
            </w:rPr>
            <w:fldChar w:fldCharType="begin"/>
          </w:r>
          <w:r>
            <w:rPr>
              <w:sz w:val="28"/>
              <w:szCs w:val="28"/>
            </w:rPr>
            <w:instrText xml:space="preserve"> PAGEREF _Toc24027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8"/>
            <w:tabs>
              <w:tab w:val="right" w:leader="dot" w:pos="8958"/>
            </w:tabs>
            <w:rPr>
              <w:sz w:val="28"/>
              <w:szCs w:val="28"/>
            </w:rPr>
          </w:pPr>
          <w:r>
            <w:fldChar w:fldCharType="begin"/>
          </w:r>
          <w:r>
            <w:instrText xml:space="preserve"> HYPERLINK \l "_Toc30552" </w:instrText>
          </w:r>
          <w:r>
            <w:fldChar w:fldCharType="separate"/>
          </w:r>
          <w:r>
            <w:rPr>
              <w:rFonts w:hint="eastAsia" w:ascii="仿宋" w:hAnsi="仿宋" w:eastAsia="仿宋" w:cs="仿宋"/>
              <w:sz w:val="28"/>
              <w:szCs w:val="28"/>
            </w:rPr>
            <w:t>6.2提高项目管理水平、加强履约合规性</w:t>
          </w:r>
          <w:r>
            <w:rPr>
              <w:sz w:val="28"/>
              <w:szCs w:val="28"/>
            </w:rPr>
            <w:tab/>
          </w:r>
          <w:r>
            <w:rPr>
              <w:sz w:val="28"/>
              <w:szCs w:val="28"/>
            </w:rPr>
            <w:fldChar w:fldCharType="begin"/>
          </w:r>
          <w:r>
            <w:rPr>
              <w:sz w:val="28"/>
              <w:szCs w:val="28"/>
            </w:rPr>
            <w:instrText xml:space="preserve"> PAGEREF _Toc30552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7"/>
            <w:tabs>
              <w:tab w:val="right" w:leader="dot" w:pos="8958"/>
            </w:tabs>
            <w:rPr>
              <w:rFonts w:hint="eastAsia" w:ascii="仿宋" w:hAnsi="仿宋" w:eastAsia="仿宋"/>
              <w:sz w:val="28"/>
              <w:szCs w:val="28"/>
            </w:rPr>
          </w:pPr>
          <w:r>
            <w:fldChar w:fldCharType="begin"/>
          </w:r>
          <w:r>
            <w:instrText xml:space="preserve"> HYPERLINK \l "_Toc358" </w:instrText>
          </w:r>
          <w:r>
            <w:fldChar w:fldCharType="separate"/>
          </w:r>
          <w:r>
            <w:rPr>
              <w:rFonts w:hint="eastAsia" w:ascii="仿宋" w:hAnsi="仿宋" w:eastAsia="仿宋" w:cs="仿宋"/>
              <w:sz w:val="28"/>
              <w:szCs w:val="28"/>
            </w:rPr>
            <w:t>7、其他事项说明</w:t>
          </w:r>
          <w:r>
            <w:rPr>
              <w:sz w:val="28"/>
              <w:szCs w:val="28"/>
            </w:rPr>
            <w:tab/>
          </w:r>
          <w:r>
            <w:rPr>
              <w:sz w:val="28"/>
              <w:szCs w:val="28"/>
            </w:rPr>
            <w:fldChar w:fldCharType="begin"/>
          </w:r>
          <w:r>
            <w:rPr>
              <w:sz w:val="28"/>
              <w:szCs w:val="28"/>
            </w:rPr>
            <w:instrText xml:space="preserve"> PAGEREF _Toc358 \h </w:instrText>
          </w:r>
          <w:r>
            <w:rPr>
              <w:sz w:val="28"/>
              <w:szCs w:val="28"/>
            </w:rPr>
            <w:fldChar w:fldCharType="separate"/>
          </w:r>
          <w:r>
            <w:rPr>
              <w:sz w:val="28"/>
              <w:szCs w:val="28"/>
            </w:rPr>
            <w:t>18</w:t>
          </w:r>
          <w:r>
            <w:rPr>
              <w:sz w:val="28"/>
              <w:szCs w:val="28"/>
            </w:rPr>
            <w:fldChar w:fldCharType="end"/>
          </w:r>
          <w:r>
            <w:rPr>
              <w:sz w:val="28"/>
              <w:szCs w:val="28"/>
            </w:rPr>
            <w:fldChar w:fldCharType="end"/>
          </w:r>
        </w:p>
        <w:p>
          <w:pPr>
            <w:rPr>
              <w:rFonts w:ascii="仿宋" w:hAnsi="仿宋" w:eastAsia="仿宋" w:cs="仿宋"/>
              <w:sz w:val="28"/>
              <w:szCs w:val="28"/>
            </w:rPr>
          </w:pPr>
          <w:r>
            <w:rPr>
              <w:rFonts w:hint="eastAsia" w:ascii="仿宋" w:hAnsi="仿宋" w:eastAsia="仿宋" w:cs="仿宋"/>
              <w:sz w:val="28"/>
              <w:szCs w:val="28"/>
            </w:rPr>
            <w:t>8、附件</w:t>
          </w:r>
        </w:p>
        <w:p>
          <w:pPr>
            <w:rPr>
              <w:rFonts w:ascii="仿宋" w:hAnsi="仿宋" w:eastAsia="仿宋"/>
              <w:sz w:val="28"/>
              <w:szCs w:val="28"/>
            </w:rPr>
            <w:sectPr>
              <w:headerReference r:id="rId4" w:type="first"/>
              <w:headerReference r:id="rId3" w:type="default"/>
              <w:pgSz w:w="11906" w:h="16838"/>
              <w:pgMar w:top="1440" w:right="1474" w:bottom="1440" w:left="1474" w:header="851" w:footer="992" w:gutter="0"/>
              <w:cols w:space="0" w:num="1"/>
              <w:titlePg/>
              <w:docGrid w:type="lines" w:linePitch="312" w:charSpace="0"/>
            </w:sectPr>
          </w:pPr>
          <w:r>
            <w:rPr>
              <w:rFonts w:ascii="仿宋" w:hAnsi="仿宋" w:eastAsia="仿宋"/>
              <w:sz w:val="28"/>
              <w:szCs w:val="28"/>
            </w:rPr>
            <w:fldChar w:fldCharType="end"/>
          </w:r>
        </w:p>
      </w:sdtContent>
    </w:sdt>
    <w:p>
      <w:pPr>
        <w:spacing w:line="560" w:lineRule="exact"/>
        <w:jc w:val="center"/>
        <w:rPr>
          <w:rFonts w:cs="仿宋" w:asciiTheme="majorEastAsia" w:hAnsiTheme="majorEastAsia" w:eastAsiaTheme="majorEastAsia"/>
          <w:sz w:val="44"/>
          <w:szCs w:val="44"/>
        </w:rPr>
      </w:pPr>
      <w:r>
        <w:rPr>
          <w:rFonts w:hint="eastAsia" w:cs="仿宋" w:asciiTheme="majorEastAsia" w:hAnsiTheme="majorEastAsia" w:eastAsiaTheme="majorEastAsia"/>
          <w:b/>
          <w:bCs/>
          <w:sz w:val="44"/>
          <w:szCs w:val="44"/>
        </w:rPr>
        <w:t>赣州蓉江新区2022年赣州蓉江新城控制性详细规划编修工作项目支出绩效评价报告</w:t>
      </w:r>
    </w:p>
    <w:p>
      <w:pPr>
        <w:spacing w:line="600" w:lineRule="auto"/>
        <w:jc w:val="center"/>
        <w:rPr>
          <w:rFonts w:asciiTheme="majorEastAsia" w:hAnsiTheme="majorEastAsia" w:eastAsiaTheme="majorEastAsia"/>
          <w:sz w:val="28"/>
          <w:szCs w:val="28"/>
        </w:rPr>
      </w:pPr>
      <w:r>
        <w:rPr>
          <w:rFonts w:hint="eastAsia" w:cs="仿宋" w:asciiTheme="majorEastAsia" w:hAnsiTheme="majorEastAsia" w:eastAsiaTheme="majorEastAsia"/>
          <w:sz w:val="28"/>
          <w:szCs w:val="28"/>
        </w:rPr>
        <w:t>国众联咨报字﹝2024﹞第5-0032号</w:t>
      </w:r>
    </w:p>
    <w:p/>
    <w:p>
      <w:pPr>
        <w:rPr>
          <w:rFonts w:ascii="仿宋" w:hAnsi="仿宋" w:eastAsia="仿宋"/>
          <w:sz w:val="32"/>
          <w:szCs w:val="32"/>
        </w:rPr>
      </w:pPr>
      <w:r>
        <w:rPr>
          <w:rFonts w:hint="eastAsia" w:ascii="仿宋" w:hAnsi="仿宋" w:eastAsia="仿宋"/>
          <w:b/>
          <w:bCs/>
          <w:sz w:val="32"/>
          <w:szCs w:val="32"/>
        </w:rPr>
        <w:t>赣州蓉江新区财政局</w:t>
      </w:r>
      <w:r>
        <w:rPr>
          <w:rFonts w:hint="eastAsia" w:ascii="仿宋" w:hAnsi="仿宋" w:eastAsia="仿宋"/>
          <w:sz w:val="32"/>
          <w:szCs w:val="32"/>
        </w:rPr>
        <w:t>：</w:t>
      </w:r>
    </w:p>
    <w:p>
      <w:pPr>
        <w:pStyle w:val="2"/>
        <w:ind w:firstLine="640" w:firstLineChars="200"/>
      </w:pPr>
      <w:r>
        <w:rPr>
          <w:rFonts w:hint="eastAsia" w:ascii="仿宋" w:hAnsi="仿宋" w:eastAsia="仿宋"/>
          <w:sz w:val="32"/>
          <w:szCs w:val="32"/>
        </w:rPr>
        <w:t>为贯彻落实全面推进预算绩效管理工作的要求，完善部门预算管理，强化预算支出责任，提高财政资金的使用效益，根据《预算法》、《中共中央国务院关于全面实施预算绩效管理的意见》（中发〔2018〕34号）等文件要求，受贵单位的委托，国众联资产评估土地房地产估价有限公司以第三方社会机构的身份，承担了赣州蓉江新区2022年赣州蓉江新城控制性详细规划编修工作项目（以下简称“项目”或“该项目”）的绩效评价工作。本次绩效评价工作严格依照相关法律法规的规定，遵循“独立、客观、公正、科学”的原则进行。</w:t>
      </w:r>
    </w:p>
    <w:p>
      <w:pPr>
        <w:spacing w:line="620" w:lineRule="exact"/>
        <w:ind w:firstLine="640" w:firstLineChars="200"/>
        <w:rPr>
          <w:rFonts w:ascii="仿宋" w:hAnsi="仿宋" w:eastAsia="仿宋"/>
          <w:sz w:val="32"/>
          <w:szCs w:val="32"/>
        </w:rPr>
      </w:pPr>
      <w:r>
        <w:rPr>
          <w:rFonts w:hint="eastAsia" w:ascii="仿宋" w:hAnsi="仿宋" w:eastAsia="仿宋"/>
          <w:sz w:val="32"/>
          <w:szCs w:val="32"/>
        </w:rPr>
        <w:t>国众联资产评估土地房地产估价有限公司接受委托任务后于2023年12月开始，抽调精干人员力量组成绩效评价组，精心制定绩效评价方案，通过访谈、查阅文件文献、问卷调查、现场调研等方式，充分了解和掌握了评价对象的相关情况后，按照绩效评价指标体系，对项目取得的成效与经验、项目存在的问题进行归纳总结，并提出相关建议，得出评价结果。</w:t>
      </w:r>
    </w:p>
    <w:p>
      <w:pPr>
        <w:ind w:firstLine="640" w:firstLineChars="200"/>
        <w:jc w:val="left"/>
        <w:rPr>
          <w:rFonts w:ascii="仿宋" w:hAnsi="仿宋" w:eastAsia="仿宋"/>
          <w:sz w:val="32"/>
          <w:szCs w:val="32"/>
        </w:rPr>
      </w:pPr>
      <w:r>
        <w:rPr>
          <w:rFonts w:hint="eastAsia" w:ascii="仿宋" w:hAnsi="仿宋" w:eastAsia="仿宋"/>
          <w:sz w:val="32"/>
          <w:szCs w:val="32"/>
        </w:rPr>
        <w:t>绩效评价组以绩效评价指标体系要求为基础进行资料收集，收集了项目实施过程中的各项资料，对项目实施单位相关负责人进行访谈、开展项目的满意度调查工作等，在此基础上形成《赣州蓉江新区2022年赣州蓉江新城控制性详细规划编修工作项目支出绩效评价报告》。</w:t>
      </w:r>
    </w:p>
    <w:p>
      <w:pPr>
        <w:ind w:firstLine="321" w:firstLineChars="100"/>
        <w:outlineLvl w:val="0"/>
        <w:rPr>
          <w:rFonts w:ascii="仿宋" w:hAnsi="仿宋" w:eastAsia="仿宋"/>
          <w:b/>
          <w:sz w:val="32"/>
          <w:szCs w:val="32"/>
        </w:rPr>
      </w:pPr>
      <w:bookmarkStart w:id="0" w:name="_Toc15814"/>
      <w:r>
        <w:rPr>
          <w:rFonts w:hint="eastAsia" w:ascii="仿宋" w:hAnsi="仿宋" w:eastAsia="仿宋"/>
          <w:b/>
          <w:sz w:val="32"/>
          <w:szCs w:val="32"/>
        </w:rPr>
        <w:t>1、项目概述</w:t>
      </w:r>
      <w:bookmarkEnd w:id="0"/>
    </w:p>
    <w:p>
      <w:pPr>
        <w:ind w:firstLine="482" w:firstLineChars="150"/>
        <w:outlineLvl w:val="1"/>
        <w:rPr>
          <w:rFonts w:ascii="仿宋" w:hAnsi="仿宋" w:eastAsia="仿宋"/>
          <w:b/>
          <w:sz w:val="32"/>
          <w:szCs w:val="32"/>
        </w:rPr>
      </w:pPr>
      <w:bookmarkStart w:id="1" w:name="_Toc26789"/>
      <w:r>
        <w:rPr>
          <w:rFonts w:hint="eastAsia" w:ascii="仿宋" w:hAnsi="仿宋" w:eastAsia="仿宋"/>
          <w:b/>
          <w:sz w:val="32"/>
          <w:szCs w:val="32"/>
        </w:rPr>
        <w:t>1.1项目基本情况</w:t>
      </w:r>
      <w:bookmarkEnd w:id="1"/>
    </w:p>
    <w:p>
      <w:pPr>
        <w:ind w:firstLine="482" w:firstLineChars="150"/>
        <w:outlineLvl w:val="2"/>
        <w:rPr>
          <w:rFonts w:ascii="仿宋" w:hAnsi="仿宋" w:eastAsia="仿宋"/>
          <w:b/>
          <w:sz w:val="32"/>
          <w:szCs w:val="32"/>
        </w:rPr>
      </w:pPr>
      <w:r>
        <w:rPr>
          <w:rFonts w:hint="eastAsia" w:ascii="仿宋" w:hAnsi="仿宋" w:eastAsia="仿宋"/>
          <w:b/>
          <w:sz w:val="32"/>
          <w:szCs w:val="32"/>
        </w:rPr>
        <w:t>1.1.1项目主要内容</w:t>
      </w:r>
    </w:p>
    <w:p>
      <w:pPr>
        <w:ind w:firstLine="640" w:firstLineChars="200"/>
        <w:rPr>
          <w:rFonts w:ascii="仿宋" w:hAnsi="仿宋" w:eastAsia="仿宋"/>
          <w:sz w:val="32"/>
          <w:szCs w:val="32"/>
        </w:rPr>
      </w:pPr>
      <w:r>
        <w:rPr>
          <w:rFonts w:hint="eastAsia" w:ascii="仿宋" w:hAnsi="仿宋" w:eastAsia="仿宋"/>
          <w:sz w:val="32"/>
          <w:szCs w:val="32"/>
        </w:rPr>
        <w:t>赣州蓉江新区2022年赣州蓉江新城控制性详细规划编修工作项目为2022年度中期追加，主要内容为：通过公开招标方式，采购对赣州环城高速以北和章江、章水围合区域，面积约77.03平方公里区域，进行包括总体研究内容和专项统筹内容的规划修编服务，在6个月内获取规划成果，组织验收。</w:t>
      </w:r>
    </w:p>
    <w:p>
      <w:pPr>
        <w:rPr>
          <w:rFonts w:ascii="仿宋" w:hAnsi="仿宋" w:eastAsia="仿宋"/>
          <w:b/>
          <w:sz w:val="32"/>
          <w:szCs w:val="32"/>
        </w:rPr>
      </w:pPr>
    </w:p>
    <w:p>
      <w:pPr>
        <w:ind w:firstLine="482" w:firstLineChars="150"/>
        <w:outlineLvl w:val="2"/>
        <w:rPr>
          <w:rFonts w:ascii="仿宋" w:hAnsi="仿宋" w:eastAsia="仿宋"/>
          <w:b/>
          <w:sz w:val="32"/>
          <w:szCs w:val="32"/>
        </w:rPr>
      </w:pPr>
      <w:r>
        <w:rPr>
          <w:rFonts w:hint="eastAsia" w:ascii="仿宋" w:hAnsi="仿宋" w:eastAsia="仿宋"/>
          <w:b/>
          <w:sz w:val="32"/>
          <w:szCs w:val="32"/>
        </w:rPr>
        <w:t>1.1.2项目预算及资金来源</w:t>
      </w:r>
    </w:p>
    <w:p>
      <w:pPr>
        <w:ind w:firstLine="480" w:firstLineChars="150"/>
        <w:rPr>
          <w:rFonts w:ascii="仿宋" w:hAnsi="仿宋" w:eastAsia="仿宋"/>
          <w:sz w:val="32"/>
          <w:szCs w:val="32"/>
        </w:rPr>
      </w:pPr>
      <w:r>
        <w:rPr>
          <w:rFonts w:hint="eastAsia" w:ascii="仿宋" w:hAnsi="仿宋" w:eastAsia="仿宋"/>
          <w:sz w:val="32"/>
          <w:szCs w:val="32"/>
        </w:rPr>
        <w:t>项目预算金额390万元，</w:t>
      </w:r>
      <w:r>
        <w:rPr>
          <w:rFonts w:hint="eastAsia" w:ascii="仿宋" w:hAnsi="仿宋" w:eastAsia="仿宋" w:cs="Times New Roman"/>
          <w:sz w:val="32"/>
          <w:szCs w:val="32"/>
        </w:rPr>
        <w:t>列入2023年</w:t>
      </w:r>
      <w:r>
        <w:rPr>
          <w:rFonts w:hint="eastAsia" w:ascii="仿宋" w:hAnsi="仿宋" w:eastAsia="仿宋"/>
          <w:sz w:val="32"/>
          <w:szCs w:val="32"/>
        </w:rPr>
        <w:t>赣州市自然资源局蓉江新区分局年初部门预算</w:t>
      </w:r>
      <w:r>
        <w:rPr>
          <w:rFonts w:hint="eastAsia" w:ascii="仿宋" w:hAnsi="仿宋" w:eastAsia="仿宋" w:cs="Times New Roman"/>
          <w:sz w:val="32"/>
          <w:szCs w:val="32"/>
        </w:rPr>
        <w:t>。</w:t>
      </w:r>
    </w:p>
    <w:p>
      <w:pPr>
        <w:ind w:firstLine="480" w:firstLineChars="150"/>
        <w:rPr>
          <w:rFonts w:ascii="仿宋" w:hAnsi="仿宋" w:eastAsia="仿宋"/>
          <w:sz w:val="32"/>
          <w:szCs w:val="32"/>
        </w:rPr>
      </w:pPr>
    </w:p>
    <w:p>
      <w:pPr>
        <w:ind w:firstLine="482" w:firstLineChars="150"/>
        <w:outlineLvl w:val="2"/>
        <w:rPr>
          <w:rFonts w:ascii="仿宋" w:hAnsi="仿宋" w:eastAsia="仿宋"/>
          <w:b/>
          <w:sz w:val="32"/>
          <w:szCs w:val="32"/>
        </w:rPr>
      </w:pPr>
      <w:r>
        <w:rPr>
          <w:rFonts w:hint="eastAsia" w:ascii="仿宋" w:hAnsi="仿宋" w:eastAsia="仿宋"/>
          <w:b/>
          <w:sz w:val="32"/>
          <w:szCs w:val="32"/>
        </w:rPr>
        <w:t>1.1.3项目实施主体</w:t>
      </w:r>
    </w:p>
    <w:p>
      <w:pPr>
        <w:ind w:firstLine="480" w:firstLineChars="150"/>
        <w:rPr>
          <w:rFonts w:ascii="仿宋" w:hAnsi="仿宋" w:eastAsia="仿宋"/>
          <w:sz w:val="32"/>
          <w:szCs w:val="32"/>
        </w:rPr>
      </w:pPr>
      <w:r>
        <w:rPr>
          <w:rFonts w:hint="eastAsia" w:ascii="仿宋" w:hAnsi="仿宋" w:eastAsia="仿宋"/>
          <w:sz w:val="32"/>
          <w:szCs w:val="32"/>
        </w:rPr>
        <w:t>该项目实施主体为赣州市自然资源局蓉江新区分局，以下简称“区自然资源分局”。</w:t>
      </w:r>
    </w:p>
    <w:p>
      <w:pPr>
        <w:ind w:firstLine="482" w:firstLineChars="150"/>
        <w:rPr>
          <w:rFonts w:ascii="仿宋" w:hAnsi="仿宋" w:eastAsia="仿宋"/>
          <w:b/>
          <w:sz w:val="32"/>
          <w:szCs w:val="32"/>
        </w:rPr>
      </w:pPr>
    </w:p>
    <w:p>
      <w:pPr>
        <w:ind w:firstLine="482" w:firstLineChars="150"/>
        <w:outlineLvl w:val="2"/>
        <w:rPr>
          <w:rFonts w:ascii="仿宋" w:hAnsi="仿宋" w:eastAsia="仿宋"/>
          <w:b/>
          <w:sz w:val="32"/>
          <w:szCs w:val="32"/>
        </w:rPr>
      </w:pPr>
      <w:r>
        <w:rPr>
          <w:rFonts w:hint="eastAsia" w:ascii="仿宋" w:hAnsi="仿宋" w:eastAsia="仿宋"/>
          <w:b/>
          <w:sz w:val="32"/>
          <w:szCs w:val="32"/>
        </w:rPr>
        <w:t>1.1.4项目绩效目标</w:t>
      </w:r>
    </w:p>
    <w:p>
      <w:pPr>
        <w:ind w:firstLine="480" w:firstLineChars="150"/>
        <w:rPr>
          <w:rFonts w:ascii="仿宋" w:hAnsi="仿宋" w:eastAsia="仿宋"/>
          <w:sz w:val="32"/>
          <w:szCs w:val="32"/>
        </w:rPr>
      </w:pPr>
      <w:r>
        <w:rPr>
          <w:rFonts w:hint="eastAsia" w:ascii="仿宋" w:hAnsi="仿宋" w:eastAsia="仿宋"/>
          <w:sz w:val="32"/>
          <w:szCs w:val="32"/>
        </w:rPr>
        <w:t>区自然资源分局设立项目总目标：给予赣州蓉江新城控制性详细规划修编工作经费支持，便于顺利开展。</w:t>
      </w:r>
    </w:p>
    <w:p>
      <w:pPr>
        <w:ind w:firstLine="480" w:firstLineChars="150"/>
        <w:rPr>
          <w:rFonts w:ascii="仿宋" w:hAnsi="仿宋" w:eastAsia="仿宋"/>
          <w:sz w:val="32"/>
          <w:szCs w:val="32"/>
        </w:rPr>
      </w:pPr>
      <w:r>
        <w:rPr>
          <w:rFonts w:hint="eastAsia" w:ascii="仿宋" w:hAnsi="仿宋" w:eastAsia="仿宋"/>
          <w:sz w:val="32"/>
          <w:szCs w:val="32"/>
        </w:rPr>
        <w:t>区自然资源分局设立的项目绩效年度目标：</w:t>
      </w:r>
    </w:p>
    <w:p>
      <w:pPr>
        <w:ind w:firstLine="480" w:firstLineChars="150"/>
        <w:rPr>
          <w:rFonts w:ascii="仿宋" w:hAnsi="仿宋" w:eastAsia="仿宋"/>
          <w:sz w:val="32"/>
          <w:szCs w:val="32"/>
        </w:rPr>
      </w:pPr>
      <w:r>
        <w:rPr>
          <w:rFonts w:hint="eastAsia" w:ascii="仿宋" w:hAnsi="仿宋" w:eastAsia="仿宋"/>
          <w:sz w:val="32"/>
          <w:szCs w:val="32"/>
        </w:rPr>
        <w:t>数量指标---修编范围≤77.03平方公里；</w:t>
      </w:r>
    </w:p>
    <w:p>
      <w:pPr>
        <w:ind w:firstLine="480" w:firstLineChars="150"/>
        <w:rPr>
          <w:rFonts w:ascii="仿宋" w:hAnsi="仿宋" w:eastAsia="仿宋"/>
          <w:sz w:val="32"/>
          <w:szCs w:val="32"/>
        </w:rPr>
      </w:pPr>
      <w:r>
        <w:rPr>
          <w:rFonts w:hint="eastAsia" w:ascii="仿宋" w:hAnsi="仿宋" w:eastAsia="仿宋"/>
          <w:sz w:val="32"/>
          <w:szCs w:val="32"/>
        </w:rPr>
        <w:t>质量指标---资金拨付准确率＝100%；</w:t>
      </w:r>
    </w:p>
    <w:p>
      <w:pPr>
        <w:ind w:firstLine="480" w:firstLineChars="150"/>
        <w:rPr>
          <w:rFonts w:ascii="仿宋" w:hAnsi="仿宋" w:eastAsia="仿宋"/>
          <w:sz w:val="32"/>
          <w:szCs w:val="32"/>
        </w:rPr>
      </w:pPr>
      <w:r>
        <w:rPr>
          <w:rFonts w:hint="eastAsia" w:ascii="仿宋" w:hAnsi="仿宋" w:eastAsia="仿宋"/>
          <w:sz w:val="32"/>
          <w:szCs w:val="32"/>
        </w:rPr>
        <w:t>时效指标---完成支付时限，目标值为2022年12月底前；</w:t>
      </w:r>
    </w:p>
    <w:p>
      <w:pPr>
        <w:ind w:firstLine="480" w:firstLineChars="150"/>
        <w:rPr>
          <w:rFonts w:ascii="仿宋" w:hAnsi="仿宋" w:eastAsia="仿宋"/>
          <w:sz w:val="32"/>
          <w:szCs w:val="32"/>
        </w:rPr>
      </w:pPr>
      <w:r>
        <w:rPr>
          <w:rFonts w:hint="eastAsia" w:ascii="仿宋" w:hAnsi="仿宋" w:eastAsia="仿宋"/>
          <w:sz w:val="32"/>
          <w:szCs w:val="32"/>
        </w:rPr>
        <w:t>成本指标---平均每平方公里单价≤5万元；</w:t>
      </w:r>
    </w:p>
    <w:p>
      <w:pPr>
        <w:ind w:firstLine="480" w:firstLineChars="150"/>
        <w:rPr>
          <w:rFonts w:ascii="仿宋" w:hAnsi="仿宋" w:eastAsia="仿宋"/>
          <w:sz w:val="32"/>
          <w:szCs w:val="32"/>
        </w:rPr>
      </w:pPr>
      <w:r>
        <w:rPr>
          <w:rFonts w:hint="eastAsia" w:ascii="仿宋" w:hAnsi="仿宋" w:eastAsia="仿宋"/>
          <w:sz w:val="32"/>
          <w:szCs w:val="32"/>
        </w:rPr>
        <w:t>经济效益指标---未设置；</w:t>
      </w:r>
    </w:p>
    <w:p>
      <w:pPr>
        <w:ind w:firstLine="480" w:firstLineChars="150"/>
        <w:rPr>
          <w:rFonts w:ascii="仿宋" w:hAnsi="仿宋" w:eastAsia="仿宋"/>
          <w:sz w:val="32"/>
          <w:szCs w:val="32"/>
        </w:rPr>
      </w:pPr>
      <w:r>
        <w:rPr>
          <w:rFonts w:hint="eastAsia" w:ascii="仿宋" w:hAnsi="仿宋" w:eastAsia="仿宋"/>
          <w:sz w:val="32"/>
          <w:szCs w:val="32"/>
        </w:rPr>
        <w:t>社会效益指标---加强城乡规划管理，目标值为有推动作用；</w:t>
      </w:r>
    </w:p>
    <w:p>
      <w:pPr>
        <w:ind w:firstLine="480" w:firstLineChars="150"/>
        <w:rPr>
          <w:rFonts w:ascii="仿宋" w:hAnsi="仿宋" w:eastAsia="仿宋"/>
          <w:sz w:val="32"/>
          <w:szCs w:val="32"/>
        </w:rPr>
      </w:pPr>
      <w:r>
        <w:rPr>
          <w:rFonts w:hint="eastAsia" w:ascii="仿宋" w:hAnsi="仿宋" w:eastAsia="仿宋"/>
          <w:sz w:val="32"/>
          <w:szCs w:val="32"/>
        </w:rPr>
        <w:t>可持续影响指标---未设置；</w:t>
      </w:r>
    </w:p>
    <w:p>
      <w:pPr>
        <w:ind w:firstLine="480" w:firstLineChars="150"/>
        <w:rPr>
          <w:rFonts w:ascii="仿宋" w:hAnsi="仿宋" w:eastAsia="仿宋"/>
          <w:sz w:val="32"/>
          <w:szCs w:val="32"/>
        </w:rPr>
      </w:pPr>
      <w:r>
        <w:rPr>
          <w:rFonts w:hint="eastAsia" w:ascii="仿宋" w:hAnsi="仿宋" w:eastAsia="仿宋"/>
          <w:sz w:val="32"/>
          <w:szCs w:val="32"/>
        </w:rPr>
        <w:t>满意度指标---受益群众满意度≥90%。</w:t>
      </w:r>
    </w:p>
    <w:p>
      <w:pPr>
        <w:ind w:firstLine="321" w:firstLineChars="100"/>
        <w:rPr>
          <w:rFonts w:ascii="仿宋" w:hAnsi="仿宋" w:eastAsia="仿宋"/>
          <w:b/>
          <w:sz w:val="32"/>
          <w:szCs w:val="32"/>
        </w:rPr>
      </w:pPr>
    </w:p>
    <w:p>
      <w:pPr>
        <w:ind w:firstLine="321" w:firstLineChars="100"/>
        <w:outlineLvl w:val="1"/>
        <w:rPr>
          <w:rFonts w:ascii="仿宋" w:hAnsi="仿宋" w:eastAsia="仿宋"/>
          <w:b/>
          <w:sz w:val="32"/>
          <w:szCs w:val="32"/>
        </w:rPr>
      </w:pPr>
      <w:bookmarkStart w:id="2" w:name="_Toc18913"/>
      <w:r>
        <w:rPr>
          <w:rFonts w:hint="eastAsia" w:ascii="仿宋" w:hAnsi="仿宋" w:eastAsia="仿宋"/>
          <w:b/>
          <w:sz w:val="32"/>
          <w:szCs w:val="32"/>
        </w:rPr>
        <w:t>1.2项目实施情况</w:t>
      </w:r>
      <w:bookmarkEnd w:id="2"/>
    </w:p>
    <w:p>
      <w:pPr>
        <w:ind w:firstLine="321" w:firstLineChars="100"/>
        <w:outlineLvl w:val="2"/>
        <w:rPr>
          <w:rFonts w:ascii="仿宋" w:hAnsi="仿宋" w:eastAsia="仿宋"/>
          <w:b/>
          <w:sz w:val="32"/>
          <w:szCs w:val="32"/>
        </w:rPr>
      </w:pPr>
      <w:r>
        <w:rPr>
          <w:rFonts w:hint="eastAsia" w:ascii="仿宋" w:hAnsi="仿宋" w:eastAsia="仿宋"/>
          <w:b/>
          <w:sz w:val="32"/>
          <w:szCs w:val="32"/>
        </w:rPr>
        <w:t>1.2.1本年度实际实施起止时间</w:t>
      </w:r>
    </w:p>
    <w:p>
      <w:pPr>
        <w:ind w:firstLine="320" w:firstLineChars="100"/>
        <w:rPr>
          <w:rFonts w:ascii="仿宋" w:hAnsi="仿宋" w:eastAsia="仿宋"/>
          <w:b/>
          <w:sz w:val="32"/>
          <w:szCs w:val="32"/>
        </w:rPr>
      </w:pPr>
      <w:r>
        <w:rPr>
          <w:rFonts w:hint="eastAsia" w:ascii="仿宋" w:hAnsi="仿宋" w:eastAsia="仿宋"/>
          <w:sz w:val="32"/>
          <w:szCs w:val="32"/>
        </w:rPr>
        <w:t>2022年6月16日</w:t>
      </w:r>
      <w:r>
        <w:rPr>
          <w:rFonts w:ascii="仿宋" w:hAnsi="仿宋" w:eastAsia="仿宋"/>
          <w:sz w:val="32"/>
          <w:szCs w:val="32"/>
        </w:rPr>
        <w:t>—</w:t>
      </w:r>
      <w:r>
        <w:rPr>
          <w:rFonts w:hint="eastAsia" w:ascii="仿宋" w:hAnsi="仿宋" w:eastAsia="仿宋"/>
          <w:sz w:val="32"/>
          <w:szCs w:val="32"/>
        </w:rPr>
        <w:t>2022年12月31日</w:t>
      </w:r>
    </w:p>
    <w:p>
      <w:pPr>
        <w:ind w:firstLine="321" w:firstLineChars="100"/>
        <w:rPr>
          <w:rFonts w:ascii="仿宋" w:hAnsi="仿宋" w:eastAsia="仿宋"/>
          <w:b/>
          <w:sz w:val="32"/>
          <w:szCs w:val="32"/>
        </w:rPr>
      </w:pPr>
    </w:p>
    <w:p>
      <w:pPr>
        <w:ind w:firstLine="321" w:firstLineChars="100"/>
        <w:outlineLvl w:val="2"/>
        <w:rPr>
          <w:rFonts w:ascii="仿宋" w:hAnsi="仿宋" w:eastAsia="仿宋"/>
          <w:b/>
          <w:sz w:val="32"/>
          <w:szCs w:val="32"/>
        </w:rPr>
      </w:pPr>
      <w:r>
        <w:rPr>
          <w:rFonts w:hint="eastAsia" w:ascii="仿宋" w:hAnsi="仿宋" w:eastAsia="仿宋"/>
          <w:b/>
          <w:sz w:val="32"/>
          <w:szCs w:val="32"/>
        </w:rPr>
        <w:t>1.2.2具体实施流程</w:t>
      </w:r>
    </w:p>
    <w:p>
      <w:pPr>
        <w:ind w:firstLine="640" w:firstLineChars="200"/>
        <w:rPr>
          <w:rFonts w:ascii="仿宋" w:hAnsi="仿宋" w:eastAsia="仿宋"/>
          <w:sz w:val="32"/>
          <w:szCs w:val="32"/>
        </w:rPr>
      </w:pPr>
      <w:r>
        <w:rPr>
          <w:rFonts w:hint="eastAsia" w:ascii="仿宋" w:hAnsi="仿宋" w:eastAsia="仿宋"/>
          <w:sz w:val="32"/>
          <w:szCs w:val="32"/>
        </w:rPr>
        <w:t>2022年6月16日，区自然资源分局与赣州市金雨工程项目管理有限公司签订《赣州蓉江新区政府采购项目委托代理协议》；</w:t>
      </w:r>
    </w:p>
    <w:p>
      <w:pPr>
        <w:ind w:firstLine="640" w:firstLineChars="200"/>
        <w:rPr>
          <w:rFonts w:ascii="仿宋" w:hAnsi="仿宋" w:eastAsia="仿宋"/>
          <w:sz w:val="32"/>
          <w:szCs w:val="32"/>
        </w:rPr>
      </w:pPr>
      <w:r>
        <w:rPr>
          <w:rFonts w:hint="eastAsia" w:ascii="仿宋" w:hAnsi="仿宋" w:eastAsia="仿宋"/>
          <w:sz w:val="32"/>
          <w:szCs w:val="32"/>
        </w:rPr>
        <w:t>2022年8月10日，发出中标通知书，确定赣州市国土空间调查规划研究中心为中标服务商；</w:t>
      </w:r>
    </w:p>
    <w:p>
      <w:pPr>
        <w:ind w:firstLine="640" w:firstLineChars="200"/>
        <w:rPr>
          <w:rFonts w:ascii="仿宋" w:hAnsi="仿宋" w:eastAsia="仿宋"/>
          <w:sz w:val="32"/>
          <w:szCs w:val="32"/>
        </w:rPr>
      </w:pPr>
      <w:r>
        <w:rPr>
          <w:rFonts w:hint="eastAsia" w:ascii="仿宋" w:hAnsi="仿宋" w:eastAsia="仿宋"/>
          <w:sz w:val="32"/>
          <w:szCs w:val="32"/>
        </w:rPr>
        <w:t>2022年8月26日，区自然资源分局与赣州市国土空间调查规划研究中心签订《规划编制服务合同》；</w:t>
      </w:r>
    </w:p>
    <w:p>
      <w:pPr>
        <w:ind w:firstLine="640" w:firstLineChars="200"/>
        <w:rPr>
          <w:rFonts w:ascii="仿宋" w:hAnsi="仿宋" w:eastAsia="仿宋"/>
          <w:sz w:val="32"/>
          <w:szCs w:val="32"/>
        </w:rPr>
      </w:pPr>
      <w:r>
        <w:rPr>
          <w:rFonts w:hint="eastAsia" w:ascii="仿宋" w:hAnsi="仿宋" w:eastAsia="仿宋"/>
          <w:sz w:val="32"/>
          <w:szCs w:val="32"/>
        </w:rPr>
        <w:t>2022年8月，前期调研阶段：至现场调研，与相关部门对接，收集资料；</w:t>
      </w:r>
      <w:r>
        <w:rPr>
          <w:rFonts w:hint="eastAsia" w:ascii="仿宋" w:hAnsi="仿宋" w:eastAsia="仿宋"/>
          <w:sz w:val="32"/>
          <w:szCs w:val="32"/>
        </w:rPr>
        <w:tab/>
      </w:r>
    </w:p>
    <w:p>
      <w:pPr>
        <w:ind w:firstLine="640" w:firstLineChars="200"/>
        <w:rPr>
          <w:rFonts w:ascii="仿宋" w:hAnsi="仿宋" w:eastAsia="仿宋"/>
          <w:sz w:val="32"/>
          <w:szCs w:val="32"/>
        </w:rPr>
      </w:pPr>
      <w:r>
        <w:rPr>
          <w:rFonts w:hint="eastAsia" w:ascii="仿宋" w:hAnsi="仿宋" w:eastAsia="仿宋"/>
          <w:sz w:val="32"/>
          <w:szCs w:val="32"/>
        </w:rPr>
        <w:t>2022年9月-10月，初期方案阶段，形成规划初步成果；</w:t>
      </w:r>
    </w:p>
    <w:p>
      <w:pPr>
        <w:ind w:firstLine="640" w:firstLineChars="200"/>
        <w:rPr>
          <w:rFonts w:ascii="仿宋" w:hAnsi="仿宋" w:eastAsia="仿宋"/>
          <w:sz w:val="32"/>
          <w:szCs w:val="32"/>
        </w:rPr>
      </w:pPr>
      <w:r>
        <w:rPr>
          <w:rFonts w:hint="eastAsia" w:ascii="仿宋" w:hAnsi="仿宋" w:eastAsia="仿宋"/>
          <w:sz w:val="32"/>
          <w:szCs w:val="32"/>
        </w:rPr>
        <w:t>2022年11-12月，中期方案</w:t>
      </w:r>
      <w:r>
        <w:rPr>
          <w:rFonts w:hint="eastAsia" w:ascii="仿宋" w:hAnsi="仿宋" w:eastAsia="仿宋"/>
          <w:sz w:val="32"/>
          <w:szCs w:val="32"/>
        </w:rPr>
        <w:tab/>
      </w:r>
      <w:r>
        <w:rPr>
          <w:rFonts w:hint="eastAsia" w:ascii="仿宋" w:hAnsi="仿宋" w:eastAsia="仿宋"/>
          <w:sz w:val="32"/>
          <w:szCs w:val="32"/>
        </w:rPr>
        <w:t>阶段：形成规划中期成果；</w:t>
      </w:r>
      <w:r>
        <w:rPr>
          <w:rFonts w:hint="eastAsia" w:ascii="仿宋" w:hAnsi="仿宋" w:eastAsia="仿宋"/>
          <w:sz w:val="32"/>
          <w:szCs w:val="32"/>
        </w:rPr>
        <w:tab/>
      </w:r>
      <w:r>
        <w:rPr>
          <w:rFonts w:hint="eastAsia" w:ascii="仿宋" w:hAnsi="仿宋" w:eastAsia="仿宋"/>
          <w:sz w:val="32"/>
          <w:szCs w:val="32"/>
        </w:rPr>
        <w:t xml:space="preserve">  2022年11月22日，召开中期成果区级汇报会；</w:t>
      </w:r>
    </w:p>
    <w:p>
      <w:pPr>
        <w:ind w:firstLine="640" w:firstLineChars="200"/>
        <w:rPr>
          <w:rFonts w:ascii="仿宋" w:hAnsi="仿宋" w:eastAsia="仿宋"/>
          <w:sz w:val="32"/>
          <w:szCs w:val="32"/>
        </w:rPr>
      </w:pPr>
      <w:r>
        <w:rPr>
          <w:rFonts w:hint="eastAsia" w:ascii="仿宋" w:hAnsi="仿宋" w:eastAsia="仿宋"/>
          <w:sz w:val="32"/>
          <w:szCs w:val="32"/>
        </w:rPr>
        <w:t>2022年12月2日，完成申请拨付服务费用100万元，</w:t>
      </w:r>
      <w:r>
        <w:rPr>
          <w:rFonts w:hint="eastAsia" w:ascii="仿宋" w:hAnsi="仿宋" w:eastAsia="仿宋" w:cs="Times New Roman"/>
          <w:sz w:val="32"/>
          <w:szCs w:val="32"/>
        </w:rPr>
        <w:t>从蓉江新区预留能级提升专项资金中列支的审批</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2022年12月14日，支付服务费用100万元；</w:t>
      </w:r>
    </w:p>
    <w:p>
      <w:pPr>
        <w:ind w:firstLine="640" w:firstLineChars="200"/>
        <w:rPr>
          <w:rFonts w:ascii="仿宋" w:hAnsi="仿宋" w:eastAsia="仿宋"/>
          <w:sz w:val="32"/>
          <w:szCs w:val="32"/>
        </w:rPr>
      </w:pPr>
      <w:r>
        <w:rPr>
          <w:rFonts w:hint="eastAsia" w:ascii="仿宋" w:hAnsi="仿宋" w:eastAsia="仿宋"/>
          <w:sz w:val="32"/>
          <w:szCs w:val="32"/>
        </w:rPr>
        <w:t>2022年12月17日，专家评审阶段：中期成果通过专家评审。</w:t>
      </w:r>
    </w:p>
    <w:p>
      <w:pPr>
        <w:ind w:firstLine="321" w:firstLineChars="100"/>
        <w:outlineLvl w:val="2"/>
        <w:rPr>
          <w:rFonts w:ascii="仿宋" w:hAnsi="仿宋" w:eastAsia="仿宋"/>
          <w:b/>
          <w:sz w:val="32"/>
          <w:szCs w:val="32"/>
        </w:rPr>
      </w:pPr>
      <w:r>
        <w:rPr>
          <w:rFonts w:hint="eastAsia" w:ascii="仿宋" w:hAnsi="仿宋" w:eastAsia="仿宋"/>
          <w:b/>
          <w:sz w:val="32"/>
          <w:szCs w:val="32"/>
        </w:rPr>
        <w:t>1.2.3资金落实及支出情况</w:t>
      </w:r>
    </w:p>
    <w:p>
      <w:pPr>
        <w:ind w:firstLine="320" w:firstLineChars="100"/>
        <w:rPr>
          <w:rFonts w:ascii="仿宋" w:hAnsi="仿宋" w:eastAsia="仿宋"/>
          <w:sz w:val="32"/>
          <w:szCs w:val="32"/>
        </w:rPr>
      </w:pPr>
      <w:r>
        <w:rPr>
          <w:rFonts w:hint="eastAsia" w:ascii="仿宋" w:hAnsi="仿宋" w:eastAsia="仿宋"/>
          <w:sz w:val="32"/>
          <w:szCs w:val="32"/>
        </w:rPr>
        <w:t>本年度项目落实到位资金100万元，由区财政拨付资金。</w:t>
      </w:r>
    </w:p>
    <w:p>
      <w:pPr>
        <w:ind w:firstLine="320" w:firstLineChars="100"/>
        <w:rPr>
          <w:rFonts w:ascii="仿宋" w:hAnsi="仿宋" w:eastAsia="仿宋"/>
          <w:b/>
          <w:sz w:val="32"/>
          <w:szCs w:val="32"/>
        </w:rPr>
      </w:pPr>
      <w:r>
        <w:rPr>
          <w:rFonts w:hint="eastAsia" w:ascii="仿宋" w:hAnsi="仿宋" w:eastAsia="仿宋" w:cs="Times New Roman"/>
          <w:sz w:val="32"/>
          <w:szCs w:val="32"/>
        </w:rPr>
        <w:t>2022年赣州蓉江新城控制性详细规划编修工作项目实际支出</w:t>
      </w:r>
      <w:r>
        <w:rPr>
          <w:rFonts w:hint="eastAsia" w:ascii="仿宋" w:hAnsi="仿宋" w:eastAsia="仿宋"/>
          <w:sz w:val="32"/>
          <w:szCs w:val="32"/>
        </w:rPr>
        <w:t>100</w:t>
      </w:r>
      <w:r>
        <w:rPr>
          <w:rFonts w:hint="eastAsia" w:ascii="仿宋" w:hAnsi="仿宋" w:eastAsia="仿宋" w:cs="Times New Roman"/>
          <w:sz w:val="32"/>
          <w:szCs w:val="32"/>
        </w:rPr>
        <w:t>万元。</w:t>
      </w:r>
    </w:p>
    <w:p>
      <w:pPr>
        <w:ind w:firstLine="321" w:firstLineChars="100"/>
        <w:rPr>
          <w:rFonts w:ascii="仿宋" w:hAnsi="仿宋" w:eastAsia="仿宋"/>
          <w:b/>
          <w:sz w:val="32"/>
          <w:szCs w:val="32"/>
        </w:rPr>
      </w:pPr>
    </w:p>
    <w:p>
      <w:pPr>
        <w:ind w:firstLine="321" w:firstLineChars="100"/>
        <w:outlineLvl w:val="2"/>
        <w:rPr>
          <w:rFonts w:ascii="仿宋" w:hAnsi="仿宋" w:eastAsia="仿宋"/>
          <w:b/>
          <w:sz w:val="32"/>
          <w:szCs w:val="32"/>
        </w:rPr>
      </w:pPr>
      <w:r>
        <w:rPr>
          <w:rFonts w:hint="eastAsia" w:ascii="仿宋" w:hAnsi="仿宋" w:eastAsia="仿宋"/>
          <w:b/>
          <w:sz w:val="32"/>
          <w:szCs w:val="32"/>
        </w:rPr>
        <w:t>1.2.4制度建设及执行情况</w:t>
      </w:r>
    </w:p>
    <w:p>
      <w:pPr>
        <w:ind w:firstLine="320" w:firstLineChars="100"/>
        <w:rPr>
          <w:rFonts w:ascii="仿宋" w:hAnsi="仿宋" w:eastAsia="仿宋"/>
          <w:sz w:val="32"/>
          <w:szCs w:val="32"/>
        </w:rPr>
      </w:pPr>
      <w:r>
        <w:rPr>
          <w:rFonts w:hint="eastAsia" w:ascii="仿宋" w:hAnsi="仿宋" w:eastAsia="仿宋"/>
          <w:sz w:val="32"/>
          <w:szCs w:val="32"/>
        </w:rPr>
        <w:t>区自然资源分局按照合同约定内容对项目实施监管，项目资金的审批按照有关规定执行。</w:t>
      </w:r>
    </w:p>
    <w:p>
      <w:pPr>
        <w:ind w:firstLine="321" w:firstLineChars="100"/>
        <w:rPr>
          <w:rFonts w:ascii="仿宋" w:hAnsi="仿宋" w:eastAsia="仿宋"/>
          <w:b/>
          <w:sz w:val="32"/>
          <w:szCs w:val="32"/>
        </w:rPr>
      </w:pPr>
    </w:p>
    <w:p>
      <w:pPr>
        <w:ind w:firstLine="321" w:firstLineChars="100"/>
        <w:outlineLvl w:val="0"/>
        <w:rPr>
          <w:rFonts w:ascii="仿宋" w:hAnsi="仿宋" w:eastAsia="仿宋"/>
          <w:b/>
          <w:sz w:val="32"/>
          <w:szCs w:val="32"/>
        </w:rPr>
      </w:pPr>
      <w:bookmarkStart w:id="3" w:name="_Toc18"/>
      <w:r>
        <w:rPr>
          <w:rFonts w:hint="eastAsia" w:ascii="仿宋" w:hAnsi="仿宋" w:eastAsia="仿宋"/>
          <w:b/>
          <w:sz w:val="32"/>
          <w:szCs w:val="32"/>
        </w:rPr>
        <w:t>2、</w:t>
      </w:r>
      <w:r>
        <w:rPr>
          <w:rFonts w:hint="eastAsia" w:ascii="仿宋" w:hAnsi="仿宋" w:eastAsia="仿宋" w:cs="仿宋"/>
          <w:b/>
          <w:sz w:val="32"/>
          <w:szCs w:val="32"/>
        </w:rPr>
        <w:t>绩效评价工作情况</w:t>
      </w:r>
      <w:bookmarkEnd w:id="3"/>
    </w:p>
    <w:p>
      <w:pPr>
        <w:ind w:firstLine="321" w:firstLineChars="100"/>
        <w:outlineLvl w:val="1"/>
        <w:rPr>
          <w:rFonts w:ascii="仿宋" w:hAnsi="仿宋" w:eastAsia="仿宋"/>
          <w:b/>
          <w:sz w:val="32"/>
          <w:szCs w:val="32"/>
        </w:rPr>
      </w:pPr>
      <w:bookmarkStart w:id="4" w:name="_Toc4482"/>
      <w:r>
        <w:rPr>
          <w:rFonts w:hint="eastAsia" w:ascii="仿宋" w:hAnsi="仿宋" w:eastAsia="仿宋"/>
          <w:b/>
          <w:sz w:val="32"/>
          <w:szCs w:val="32"/>
        </w:rPr>
        <w:t>2.1绩效评价目的</w:t>
      </w:r>
      <w:bookmarkEnd w:id="4"/>
    </w:p>
    <w:p>
      <w:pPr>
        <w:spacing w:before="312" w:beforeLines="100" w:after="312" w:afterLines="100"/>
        <w:ind w:firstLine="320" w:firstLineChars="100"/>
        <w:rPr>
          <w:rFonts w:ascii="仿宋" w:hAnsi="仿宋" w:eastAsia="仿宋"/>
          <w:sz w:val="32"/>
          <w:szCs w:val="32"/>
        </w:rPr>
      </w:pPr>
      <w:r>
        <w:rPr>
          <w:rFonts w:hint="eastAsia" w:ascii="仿宋" w:hAnsi="仿宋" w:eastAsia="仿宋"/>
          <w:sz w:val="32"/>
          <w:szCs w:val="32"/>
        </w:rPr>
        <w:t xml:space="preserve">通过本次绩效评价，跟踪赣州蓉江新区2022年赣州蓉江新城控制性详细规划编修工作项目的实施情况，评价项目专项资金的使用情况，项目的决策、管理过程，以及项目实施的产出和效果，并总结项目实施取得的成果及存在问题，提高财政资金的使用质量与效率。  </w:t>
      </w:r>
    </w:p>
    <w:p>
      <w:pPr>
        <w:spacing w:before="312" w:beforeLines="100" w:after="312" w:afterLines="100" w:line="360" w:lineRule="auto"/>
        <w:ind w:firstLine="643" w:firstLineChars="200"/>
        <w:outlineLvl w:val="1"/>
        <w:rPr>
          <w:rFonts w:ascii="仿宋" w:hAnsi="仿宋" w:eastAsia="仿宋"/>
          <w:b/>
          <w:sz w:val="32"/>
          <w:szCs w:val="32"/>
        </w:rPr>
      </w:pPr>
      <w:bookmarkStart w:id="5" w:name="_Toc15388"/>
      <w:r>
        <w:rPr>
          <w:rFonts w:hint="eastAsia" w:ascii="仿宋" w:hAnsi="仿宋" w:eastAsia="仿宋"/>
          <w:b/>
          <w:sz w:val="32"/>
          <w:szCs w:val="32"/>
        </w:rPr>
        <w:t>2.2绩效评价工作方案制定过程</w:t>
      </w:r>
      <w:bookmarkEnd w:id="5"/>
      <w:r>
        <w:rPr>
          <w:rFonts w:hint="eastAsia" w:ascii="仿宋" w:hAnsi="仿宋" w:eastAsia="仿宋"/>
          <w:b/>
          <w:sz w:val="32"/>
          <w:szCs w:val="32"/>
        </w:rPr>
        <w:t xml:space="preserve"> </w:t>
      </w:r>
    </w:p>
    <w:p>
      <w:pPr>
        <w:spacing w:before="312" w:beforeLines="100" w:after="312" w:afterLines="100" w:line="360" w:lineRule="auto"/>
        <w:ind w:firstLine="643" w:firstLineChars="200"/>
        <w:outlineLvl w:val="2"/>
        <w:rPr>
          <w:rFonts w:ascii="仿宋" w:hAnsi="仿宋" w:eastAsia="仿宋"/>
          <w:sz w:val="32"/>
          <w:szCs w:val="32"/>
        </w:rPr>
      </w:pPr>
      <w:r>
        <w:rPr>
          <w:rFonts w:hint="eastAsia" w:ascii="仿宋" w:hAnsi="仿宋" w:eastAsia="仿宋"/>
          <w:b/>
          <w:sz w:val="32"/>
          <w:szCs w:val="32"/>
        </w:rPr>
        <w:t>2.2.1前期调研</w:t>
      </w:r>
    </w:p>
    <w:p>
      <w:pPr>
        <w:spacing w:before="312" w:beforeLines="100" w:after="312" w:afterLines="100" w:line="360" w:lineRule="auto"/>
        <w:ind w:firstLine="640" w:firstLineChars="200"/>
        <w:rPr>
          <w:rFonts w:ascii="仿宋" w:hAnsi="仿宋" w:eastAsia="仿宋"/>
          <w:sz w:val="32"/>
          <w:szCs w:val="32"/>
        </w:rPr>
      </w:pPr>
      <w:r>
        <w:rPr>
          <w:rFonts w:hint="eastAsia" w:ascii="仿宋" w:hAnsi="仿宋" w:eastAsia="仿宋"/>
          <w:sz w:val="32"/>
          <w:szCs w:val="32"/>
        </w:rPr>
        <w:t xml:space="preserve">在受托对项目开展绩效评价后，项目组及时与区自然资源分局项目负责人进行沟通，了解项目的基本情况：包括项目实施背景、计划实施内容、组织实施流程、项目验收等，并收集明细账、合同等相关文件资料。 </w:t>
      </w:r>
    </w:p>
    <w:p>
      <w:pPr>
        <w:spacing w:before="312" w:beforeLines="100" w:after="312" w:afterLines="100" w:line="360" w:lineRule="auto"/>
        <w:ind w:firstLine="643" w:firstLineChars="200"/>
        <w:outlineLvl w:val="2"/>
        <w:rPr>
          <w:rFonts w:ascii="仿宋" w:hAnsi="仿宋" w:eastAsia="仿宋"/>
          <w:b/>
          <w:sz w:val="32"/>
          <w:szCs w:val="32"/>
        </w:rPr>
      </w:pPr>
      <w:r>
        <w:rPr>
          <w:rFonts w:hint="eastAsia" w:ascii="仿宋" w:hAnsi="仿宋" w:eastAsia="仿宋"/>
          <w:b/>
          <w:sz w:val="32"/>
          <w:szCs w:val="32"/>
        </w:rPr>
        <w:t xml:space="preserve">2.2.2研究文件 </w:t>
      </w:r>
    </w:p>
    <w:p>
      <w:pPr>
        <w:spacing w:before="312" w:beforeLines="100" w:after="312" w:afterLines="100" w:line="360" w:lineRule="auto"/>
        <w:ind w:firstLine="640" w:firstLineChars="200"/>
        <w:rPr>
          <w:rFonts w:ascii="仿宋" w:hAnsi="仿宋" w:eastAsia="仿宋"/>
          <w:sz w:val="32"/>
          <w:szCs w:val="32"/>
        </w:rPr>
      </w:pPr>
      <w:r>
        <w:rPr>
          <w:rFonts w:hint="eastAsia" w:ascii="仿宋" w:hAnsi="仿宋" w:eastAsia="仿宋"/>
          <w:sz w:val="32"/>
          <w:szCs w:val="32"/>
        </w:rPr>
        <w:t xml:space="preserve">在对项目概况初步了解后，组织项目组成员对收集到的文件资料进行研读，并查阅与项目实施密切相关的规章制度、文件规定，力求获取对项目全方位的了解。根据赣州蓉江新区财政局的要求，结合项目特点，形成项目评价的总体思路。 </w:t>
      </w:r>
    </w:p>
    <w:p>
      <w:pPr>
        <w:spacing w:before="312" w:beforeLines="100" w:after="312" w:afterLines="100" w:line="360" w:lineRule="auto"/>
        <w:ind w:firstLine="643" w:firstLineChars="200"/>
        <w:outlineLvl w:val="2"/>
        <w:rPr>
          <w:rFonts w:ascii="仿宋" w:hAnsi="仿宋" w:eastAsia="仿宋"/>
          <w:b/>
          <w:sz w:val="32"/>
          <w:szCs w:val="32"/>
        </w:rPr>
      </w:pPr>
      <w:r>
        <w:rPr>
          <w:rFonts w:hint="eastAsia" w:ascii="仿宋" w:hAnsi="仿宋" w:eastAsia="仿宋"/>
          <w:b/>
          <w:sz w:val="32"/>
          <w:szCs w:val="32"/>
        </w:rPr>
        <w:t xml:space="preserve">2.2.3绩效评价指标体系及工作方案设计 </w:t>
      </w:r>
    </w:p>
    <w:p>
      <w:pPr>
        <w:spacing w:before="312" w:beforeLines="100" w:after="312" w:afterLines="100" w:line="360" w:lineRule="auto"/>
        <w:ind w:firstLine="640" w:firstLineChars="200"/>
        <w:rPr>
          <w:rFonts w:ascii="仿宋" w:hAnsi="仿宋" w:eastAsia="仿宋"/>
          <w:sz w:val="32"/>
          <w:szCs w:val="32"/>
        </w:rPr>
      </w:pPr>
      <w:r>
        <w:rPr>
          <w:rFonts w:hint="eastAsia" w:ascii="仿宋" w:hAnsi="仿宋" w:eastAsia="仿宋"/>
          <w:sz w:val="32"/>
          <w:szCs w:val="32"/>
        </w:rPr>
        <w:t xml:space="preserve">根据前期调研结果和对相关文件资料的研读，结合项目计划实施内容，形成方案初稿，并就方案的可行性、合理性向项目实施单位征求意见，根据反馈意见修改后形成最终的项目绩效评价方案。 </w:t>
      </w:r>
    </w:p>
    <w:p>
      <w:pPr>
        <w:spacing w:before="312" w:beforeLines="100" w:after="312" w:afterLines="100" w:line="360" w:lineRule="auto"/>
        <w:ind w:firstLine="643" w:firstLineChars="200"/>
        <w:outlineLvl w:val="1"/>
        <w:rPr>
          <w:rFonts w:ascii="仿宋" w:hAnsi="仿宋" w:eastAsia="仿宋"/>
          <w:b/>
          <w:sz w:val="32"/>
          <w:szCs w:val="32"/>
        </w:rPr>
      </w:pPr>
      <w:bookmarkStart w:id="6" w:name="_Toc28350"/>
      <w:r>
        <w:rPr>
          <w:rFonts w:hint="eastAsia" w:ascii="仿宋" w:hAnsi="仿宋" w:eastAsia="仿宋"/>
          <w:b/>
          <w:sz w:val="32"/>
          <w:szCs w:val="32"/>
        </w:rPr>
        <w:t>2.3绩效评价原则、评价方法、评价依据等</w:t>
      </w:r>
      <w:bookmarkEnd w:id="6"/>
      <w:r>
        <w:rPr>
          <w:rFonts w:hint="eastAsia" w:ascii="仿宋" w:hAnsi="仿宋" w:eastAsia="仿宋"/>
          <w:b/>
          <w:sz w:val="32"/>
          <w:szCs w:val="32"/>
        </w:rPr>
        <w:t xml:space="preserve"> </w:t>
      </w:r>
    </w:p>
    <w:p>
      <w:pPr>
        <w:spacing w:before="312" w:beforeLines="100" w:after="312" w:afterLines="100" w:line="360" w:lineRule="auto"/>
        <w:ind w:firstLine="643" w:firstLineChars="200"/>
        <w:outlineLvl w:val="2"/>
        <w:rPr>
          <w:rFonts w:ascii="仿宋" w:hAnsi="仿宋" w:eastAsia="仿宋"/>
          <w:sz w:val="32"/>
          <w:szCs w:val="32"/>
        </w:rPr>
      </w:pPr>
      <w:r>
        <w:rPr>
          <w:rFonts w:hint="eastAsia" w:ascii="仿宋" w:hAnsi="仿宋" w:eastAsia="仿宋"/>
          <w:b/>
          <w:sz w:val="32"/>
          <w:szCs w:val="32"/>
        </w:rPr>
        <w:t>2.3.1绩效评价原则</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（1）科学规范。绩效评价注重财政支出的经济性、效率性和有效性，严格执行规定的程序，采用定量与定性分析相结合的方法。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（2）公正公开。绩效评价客观、公正，标准统一、资料可靠，依法公开并接受监督。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（3）绩效相关。绩效评价针对具体支出及其产出绩效进行，评价结果清晰反映支出和产出绩效之间的紧密对应关系。 </w:t>
      </w:r>
    </w:p>
    <w:p>
      <w:pPr>
        <w:spacing w:before="312" w:beforeLines="100" w:after="312" w:afterLines="100" w:line="360" w:lineRule="auto"/>
        <w:ind w:firstLine="643" w:firstLineChars="200"/>
        <w:outlineLvl w:val="2"/>
        <w:rPr>
          <w:rFonts w:ascii="仿宋" w:hAnsi="仿宋" w:eastAsia="仿宋"/>
          <w:b/>
          <w:sz w:val="32"/>
          <w:szCs w:val="32"/>
        </w:rPr>
      </w:pPr>
      <w:r>
        <w:rPr>
          <w:rFonts w:hint="eastAsia" w:ascii="仿宋" w:hAnsi="仿宋" w:eastAsia="仿宋"/>
          <w:b/>
          <w:sz w:val="32"/>
          <w:szCs w:val="32"/>
        </w:rPr>
        <w:t xml:space="preserve">2.3.2评价方法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本项目进行绩效评价时采用比较法等方法。 </w:t>
      </w:r>
    </w:p>
    <w:p>
      <w:pPr>
        <w:ind w:firstLine="320" w:firstLineChars="100"/>
        <w:rPr>
          <w:rFonts w:ascii="仿宋" w:hAnsi="仿宋" w:eastAsia="仿宋" w:cs="仿宋"/>
          <w:sz w:val="32"/>
          <w:szCs w:val="32"/>
        </w:rPr>
      </w:pPr>
      <w:r>
        <w:rPr>
          <w:rFonts w:hint="eastAsia" w:ascii="仿宋" w:hAnsi="仿宋" w:eastAsia="仿宋" w:cs="仿宋"/>
          <w:sz w:val="32"/>
          <w:szCs w:val="32"/>
        </w:rPr>
        <w:t>（1）比较法：充分运用项目预算资料、国家、赣州市发布的有关</w:t>
      </w:r>
      <w:r>
        <w:rPr>
          <w:rFonts w:hint="eastAsia" w:ascii="仿宋" w:hAnsi="仿宋" w:eastAsia="仿宋"/>
          <w:sz w:val="32"/>
          <w:szCs w:val="32"/>
        </w:rPr>
        <w:t>赣州蓉江新城控制性详细规划编修工作</w:t>
      </w:r>
      <w:r>
        <w:rPr>
          <w:rFonts w:hint="eastAsia" w:ascii="仿宋" w:hAnsi="仿宋" w:eastAsia="仿宋" w:cs="仿宋"/>
          <w:sz w:val="32"/>
          <w:szCs w:val="32"/>
        </w:rPr>
        <w:t xml:space="preserve">的各项法律规章制度，对比项目实际情况，找出差异与不足，对项目的各项绩效目标进行分析与评价。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（2）因素分析法：综合分析影响绩效目标实现、实施效果的内外因素，评价绩效目标实现程度。 </w:t>
      </w:r>
    </w:p>
    <w:p>
      <w:pPr>
        <w:ind w:firstLine="320" w:firstLineChars="100"/>
        <w:rPr>
          <w:rFonts w:ascii="仿宋" w:hAnsi="仿宋" w:eastAsia="仿宋" w:cs="仿宋"/>
          <w:sz w:val="32"/>
          <w:szCs w:val="32"/>
        </w:rPr>
      </w:pPr>
      <w:r>
        <w:rPr>
          <w:rFonts w:hint="eastAsia" w:ascii="仿宋" w:hAnsi="仿宋" w:eastAsia="仿宋" w:cs="仿宋"/>
          <w:sz w:val="32"/>
          <w:szCs w:val="32"/>
        </w:rPr>
        <w:t>（3）公众评判法：</w:t>
      </w:r>
      <w:r>
        <w:rPr>
          <w:rFonts w:ascii="仿宋" w:hAnsi="仿宋" w:eastAsia="仿宋" w:cs="仿宋"/>
          <w:sz w:val="32"/>
          <w:szCs w:val="32"/>
        </w:rPr>
        <w:t>通过</w:t>
      </w:r>
      <w:r>
        <w:rPr>
          <w:rFonts w:hint="eastAsia" w:ascii="仿宋" w:hAnsi="仿宋" w:eastAsia="仿宋" w:cs="仿宋"/>
          <w:sz w:val="32"/>
          <w:szCs w:val="32"/>
        </w:rPr>
        <w:t>对服务对象发布</w:t>
      </w:r>
      <w:r>
        <w:rPr>
          <w:rFonts w:ascii="仿宋" w:hAnsi="仿宋" w:eastAsia="仿宋" w:cs="仿宋"/>
          <w:sz w:val="32"/>
          <w:szCs w:val="32"/>
        </w:rPr>
        <w:t>公众问卷及抽样调查等对</w:t>
      </w:r>
      <w:r>
        <w:rPr>
          <w:rFonts w:hint="eastAsia" w:ascii="仿宋" w:hAnsi="仿宋" w:eastAsia="仿宋" w:cs="仿宋"/>
          <w:sz w:val="32"/>
          <w:szCs w:val="32"/>
        </w:rPr>
        <w:t>项目</w:t>
      </w:r>
      <w:r>
        <w:rPr>
          <w:rFonts w:ascii="仿宋" w:hAnsi="仿宋" w:eastAsia="仿宋" w:cs="仿宋"/>
          <w:sz w:val="32"/>
          <w:szCs w:val="32"/>
        </w:rPr>
        <w:t>支出效果进行评判，评价绩效目标实现程度</w:t>
      </w:r>
      <w:r>
        <w:rPr>
          <w:rFonts w:hint="eastAsia" w:ascii="仿宋" w:hAnsi="仿宋" w:eastAsia="仿宋" w:cs="仿宋"/>
          <w:sz w:val="32"/>
          <w:szCs w:val="32"/>
        </w:rPr>
        <w:t>和对象的满意度。</w:t>
      </w:r>
    </w:p>
    <w:p>
      <w:pPr>
        <w:ind w:firstLine="320" w:firstLineChars="100"/>
        <w:rPr>
          <w:rFonts w:ascii="仿宋" w:hAnsi="仿宋" w:eastAsia="仿宋" w:cs="仿宋"/>
          <w:sz w:val="32"/>
          <w:szCs w:val="32"/>
        </w:rPr>
      </w:pPr>
      <w:r>
        <w:rPr>
          <w:rFonts w:hint="eastAsia" w:ascii="仿宋" w:hAnsi="仿宋" w:eastAsia="仿宋" w:cs="仿宋"/>
          <w:sz w:val="32"/>
          <w:szCs w:val="32"/>
        </w:rPr>
        <w:t>（4）其他评价方法。</w:t>
      </w:r>
    </w:p>
    <w:p>
      <w:pPr>
        <w:spacing w:before="312" w:beforeLines="100" w:after="312" w:afterLines="100" w:line="360" w:lineRule="auto"/>
        <w:ind w:firstLine="321" w:firstLineChars="100"/>
        <w:outlineLvl w:val="2"/>
        <w:rPr>
          <w:rFonts w:ascii="仿宋" w:hAnsi="仿宋" w:eastAsia="仿宋"/>
          <w:b/>
          <w:sz w:val="32"/>
          <w:szCs w:val="32"/>
        </w:rPr>
      </w:pPr>
      <w:r>
        <w:rPr>
          <w:rFonts w:hint="eastAsia" w:ascii="仿宋" w:hAnsi="仿宋" w:eastAsia="仿宋"/>
          <w:b/>
          <w:sz w:val="32"/>
          <w:szCs w:val="32"/>
        </w:rPr>
        <w:t xml:space="preserve">2.3.3评价依据 </w:t>
      </w:r>
    </w:p>
    <w:p>
      <w:pPr>
        <w:ind w:firstLine="320" w:firstLineChars="100"/>
        <w:rPr>
          <w:rFonts w:ascii="仿宋" w:hAnsi="仿宋" w:eastAsia="仿宋" w:cs="仿宋"/>
          <w:sz w:val="32"/>
          <w:szCs w:val="32"/>
        </w:rPr>
      </w:pPr>
      <w:r>
        <w:rPr>
          <w:rFonts w:hint="eastAsia" w:ascii="仿宋" w:hAnsi="仿宋" w:eastAsia="仿宋" w:cs="仿宋"/>
          <w:sz w:val="32"/>
          <w:szCs w:val="32"/>
        </w:rPr>
        <w:t>《关于印发《项目支出绩效评价管理办法》的通知》（财预〔2020</w:t>
      </w:r>
      <w:r>
        <w:rPr>
          <w:rFonts w:ascii="仿宋" w:hAnsi="仿宋" w:eastAsia="仿宋" w:cs="仿宋"/>
          <w:sz w:val="32"/>
          <w:szCs w:val="32"/>
        </w:rPr>
        <w:t>〕</w:t>
      </w:r>
      <w:r>
        <w:rPr>
          <w:rFonts w:hint="eastAsia" w:ascii="仿宋" w:hAnsi="仿宋" w:eastAsia="仿宋" w:cs="仿宋"/>
          <w:sz w:val="32"/>
          <w:szCs w:val="32"/>
        </w:rPr>
        <w:t>10号</w:t>
      </w:r>
      <w:r>
        <w:rPr>
          <w:rFonts w:ascii="仿宋" w:hAnsi="仿宋" w:eastAsia="仿宋" w:cs="仿宋"/>
          <w:sz w:val="32"/>
          <w:szCs w:val="32"/>
        </w:rPr>
        <w:t>）</w:t>
      </w:r>
      <w:r>
        <w:rPr>
          <w:rFonts w:hint="eastAsia" w:ascii="仿宋" w:hAnsi="仿宋" w:eastAsia="仿宋" w:cs="仿宋"/>
          <w:sz w:val="32"/>
          <w:szCs w:val="32"/>
        </w:rPr>
        <w:t>；</w:t>
      </w:r>
    </w:p>
    <w:p>
      <w:pPr>
        <w:ind w:firstLine="320" w:firstLineChars="100"/>
        <w:rPr>
          <w:rFonts w:ascii="仿宋" w:hAnsi="仿宋" w:eastAsia="仿宋" w:cs="仿宋"/>
          <w:sz w:val="32"/>
          <w:szCs w:val="32"/>
        </w:rPr>
      </w:pPr>
      <w:r>
        <w:rPr>
          <w:rFonts w:hint="eastAsia" w:ascii="仿宋" w:hAnsi="仿宋" w:eastAsia="仿宋" w:cs="仿宋"/>
          <w:sz w:val="32"/>
          <w:szCs w:val="32"/>
        </w:rPr>
        <w:t>《中共赣州蓉江新区工作委员会 赣州蓉江新区管理委员会关于全面实施预算绩效管理的实施意见》（赣蓉党发</w:t>
      </w:r>
      <w:r>
        <w:rPr>
          <w:rFonts w:hint="eastAsia" w:ascii="仿宋" w:hAnsi="仿宋" w:eastAsia="仿宋"/>
          <w:sz w:val="32"/>
          <w:szCs w:val="32"/>
        </w:rPr>
        <w:t>〔2020〕</w:t>
      </w:r>
      <w:r>
        <w:rPr>
          <w:rFonts w:hint="eastAsia" w:ascii="仿宋" w:hAnsi="仿宋" w:eastAsia="仿宋" w:cs="仿宋"/>
          <w:sz w:val="32"/>
          <w:szCs w:val="32"/>
        </w:rPr>
        <w:t>1号</w:t>
      </w:r>
      <w:r>
        <w:rPr>
          <w:rFonts w:ascii="仿宋" w:hAnsi="仿宋" w:eastAsia="仿宋" w:cs="仿宋"/>
          <w:sz w:val="32"/>
          <w:szCs w:val="32"/>
        </w:rPr>
        <w:t>）</w:t>
      </w:r>
      <w:r>
        <w:rPr>
          <w:rFonts w:hint="eastAsia" w:ascii="仿宋" w:hAnsi="仿宋" w:eastAsia="仿宋" w:cs="仿宋"/>
          <w:sz w:val="32"/>
          <w:szCs w:val="32"/>
        </w:rPr>
        <w:t>；</w:t>
      </w:r>
    </w:p>
    <w:p>
      <w:pPr>
        <w:ind w:firstLine="480" w:firstLineChars="150"/>
        <w:rPr>
          <w:rFonts w:ascii="仿宋" w:hAnsi="仿宋" w:eastAsia="仿宋" w:cs="仿宋"/>
          <w:sz w:val="32"/>
          <w:szCs w:val="32"/>
        </w:rPr>
      </w:pPr>
      <w:r>
        <w:rPr>
          <w:rFonts w:hint="eastAsia" w:ascii="仿宋" w:hAnsi="仿宋" w:eastAsia="仿宋" w:cs="仿宋"/>
          <w:sz w:val="32"/>
          <w:szCs w:val="32"/>
        </w:rPr>
        <w:t>赣州蓉江新区财政局关于印发《推进赣州蓉江新区预算绩效管理提质增效工作方案的通知》（赣蓉财预字</w:t>
      </w:r>
      <w:r>
        <w:rPr>
          <w:rFonts w:hint="eastAsia" w:ascii="仿宋" w:hAnsi="仿宋" w:eastAsia="仿宋"/>
          <w:sz w:val="32"/>
          <w:szCs w:val="32"/>
        </w:rPr>
        <w:t>〔2022〕</w:t>
      </w:r>
      <w:r>
        <w:rPr>
          <w:rFonts w:hint="eastAsia" w:ascii="仿宋" w:hAnsi="仿宋" w:eastAsia="仿宋" w:cs="仿宋"/>
          <w:sz w:val="32"/>
          <w:szCs w:val="32"/>
        </w:rPr>
        <w:t>13号</w:t>
      </w:r>
      <w:r>
        <w:rPr>
          <w:rFonts w:ascii="仿宋" w:hAnsi="仿宋" w:eastAsia="仿宋" w:cs="仿宋"/>
          <w:sz w:val="32"/>
          <w:szCs w:val="32"/>
        </w:rPr>
        <w:t>）</w:t>
      </w:r>
      <w:r>
        <w:rPr>
          <w:rFonts w:hint="eastAsia" w:ascii="仿宋" w:hAnsi="仿宋" w:eastAsia="仿宋" w:cs="仿宋"/>
          <w:sz w:val="32"/>
          <w:szCs w:val="32"/>
        </w:rPr>
        <w:t>。</w:t>
      </w:r>
    </w:p>
    <w:p>
      <w:pPr>
        <w:spacing w:before="312" w:beforeLines="100" w:after="312" w:afterLines="100" w:line="360" w:lineRule="auto"/>
        <w:ind w:firstLine="643" w:firstLineChars="200"/>
        <w:outlineLvl w:val="2"/>
        <w:rPr>
          <w:rFonts w:ascii="仿宋" w:hAnsi="仿宋" w:eastAsia="仿宋"/>
          <w:b/>
          <w:sz w:val="32"/>
          <w:szCs w:val="32"/>
        </w:rPr>
      </w:pPr>
      <w:r>
        <w:rPr>
          <w:rFonts w:hint="eastAsia" w:ascii="仿宋" w:hAnsi="仿宋" w:eastAsia="仿宋"/>
          <w:b/>
          <w:sz w:val="32"/>
          <w:szCs w:val="32"/>
        </w:rPr>
        <w:t xml:space="preserve">2.3.4数据收集与绩效评价实施过程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评价小组在工作方案指导下，开展绩效评价工作。广泛收集项目资料并分析项目情况，采用访谈方法收集一手数据，通过对资料分析、研究、总结，对指标体系评分，得出项目取得的成绩，指出项目存在的问题，提出相关建议。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（1）工作方案策划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首先与委托方、项目实施单位等部门进行充分沟通与交流，制定绩效评价工作方案。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（2）资料收集 </w:t>
      </w:r>
    </w:p>
    <w:p>
      <w:pPr>
        <w:ind w:firstLine="480" w:firstLineChars="150"/>
        <w:rPr>
          <w:rFonts w:ascii="仿宋" w:hAnsi="仿宋" w:eastAsia="仿宋" w:cs="仿宋"/>
          <w:sz w:val="32"/>
          <w:szCs w:val="32"/>
        </w:rPr>
      </w:pPr>
      <w:r>
        <w:rPr>
          <w:rFonts w:hint="eastAsia" w:ascii="仿宋" w:hAnsi="仿宋" w:eastAsia="仿宋" w:cs="仿宋"/>
          <w:sz w:val="32"/>
          <w:szCs w:val="32"/>
        </w:rPr>
        <w:t xml:space="preserve">绩效评价组以绩效评价指标体系要求为基础进行资料收集，收集了项目实施的各项资料，包括预算编制、实施计划、实施内容、实施流程、管理制度、检查监督、档案管理等。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（3）访谈 </w:t>
      </w:r>
    </w:p>
    <w:p>
      <w:pPr>
        <w:ind w:firstLine="480" w:firstLineChars="150"/>
        <w:rPr>
          <w:rFonts w:ascii="仿宋" w:hAnsi="仿宋" w:eastAsia="仿宋" w:cs="仿宋"/>
          <w:sz w:val="32"/>
          <w:szCs w:val="32"/>
        </w:rPr>
      </w:pPr>
      <w:r>
        <w:rPr>
          <w:rFonts w:hint="eastAsia" w:ascii="仿宋" w:hAnsi="仿宋" w:eastAsia="仿宋" w:cs="仿宋"/>
          <w:sz w:val="32"/>
          <w:szCs w:val="32"/>
        </w:rPr>
        <w:t xml:space="preserve">为更进一步了解项目实施的各项情况，我们开展访谈，对项目有关人员进行情况了解。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（4）分析研究 </w:t>
      </w:r>
    </w:p>
    <w:p>
      <w:pPr>
        <w:ind w:firstLine="480" w:firstLineChars="150"/>
        <w:rPr>
          <w:rFonts w:ascii="仿宋" w:hAnsi="仿宋" w:eastAsia="仿宋" w:cs="仿宋"/>
          <w:sz w:val="32"/>
          <w:szCs w:val="32"/>
        </w:rPr>
      </w:pPr>
      <w:r>
        <w:rPr>
          <w:rFonts w:hint="eastAsia" w:ascii="仿宋" w:hAnsi="仿宋" w:eastAsia="仿宋" w:cs="仿宋"/>
          <w:sz w:val="32"/>
          <w:szCs w:val="32"/>
        </w:rPr>
        <w:t>按照制定的绩效评价指标体系，根据以上收集的文献资料、访谈等，对各项绩效评价指标进行分析与评价。</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（5）归纳总结 </w:t>
      </w:r>
    </w:p>
    <w:p>
      <w:pPr>
        <w:ind w:firstLine="320" w:firstLineChars="100"/>
        <w:rPr>
          <w:rFonts w:ascii="仿宋" w:hAnsi="仿宋" w:eastAsia="仿宋" w:cs="仿宋"/>
          <w:sz w:val="32"/>
          <w:szCs w:val="32"/>
        </w:rPr>
      </w:pPr>
      <w:r>
        <w:rPr>
          <w:rFonts w:hint="eastAsia" w:ascii="仿宋" w:hAnsi="仿宋" w:eastAsia="仿宋"/>
          <w:sz w:val="32"/>
          <w:szCs w:val="32"/>
        </w:rPr>
        <w:t xml:space="preserve">在充分调研、分析的基础上，对项目取得的成效与经验、项目存在的问题进行归纳总结，并提出相关建议。 </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（6）形成报告 </w:t>
      </w:r>
    </w:p>
    <w:p>
      <w:pPr>
        <w:ind w:firstLine="640" w:firstLineChars="200"/>
        <w:rPr>
          <w:rFonts w:ascii="仿宋" w:hAnsi="仿宋" w:eastAsia="仿宋"/>
          <w:sz w:val="32"/>
          <w:szCs w:val="32"/>
        </w:rPr>
      </w:pPr>
      <w:r>
        <w:rPr>
          <w:rFonts w:hint="eastAsia" w:ascii="仿宋" w:hAnsi="仿宋" w:eastAsia="仿宋"/>
          <w:sz w:val="32"/>
          <w:szCs w:val="32"/>
        </w:rPr>
        <w:t>在资料收集、访谈、分析研究、归纳总结的基础上，编制报告初稿，并按照委托方的意见对报告进行修改，形成绩效评价最终报告。</w:t>
      </w:r>
    </w:p>
    <w:p>
      <w:pPr>
        <w:ind w:firstLine="321" w:firstLineChars="100"/>
        <w:rPr>
          <w:rFonts w:ascii="仿宋" w:hAnsi="仿宋" w:eastAsia="仿宋"/>
          <w:b/>
          <w:sz w:val="32"/>
          <w:szCs w:val="32"/>
        </w:rPr>
      </w:pPr>
    </w:p>
    <w:p>
      <w:pPr>
        <w:ind w:firstLine="321" w:firstLineChars="100"/>
        <w:outlineLvl w:val="0"/>
        <w:rPr>
          <w:rFonts w:ascii="仿宋" w:hAnsi="仿宋" w:eastAsia="仿宋"/>
          <w:b/>
          <w:sz w:val="32"/>
          <w:szCs w:val="32"/>
        </w:rPr>
      </w:pPr>
      <w:bookmarkStart w:id="7" w:name="_Toc4596"/>
      <w:r>
        <w:rPr>
          <w:rFonts w:hint="eastAsia" w:ascii="仿宋" w:hAnsi="仿宋" w:eastAsia="仿宋"/>
          <w:b/>
          <w:sz w:val="32"/>
          <w:szCs w:val="32"/>
        </w:rPr>
        <w:t>3、具体绩效分析</w:t>
      </w:r>
      <w:bookmarkEnd w:id="7"/>
    </w:p>
    <w:p>
      <w:pPr>
        <w:ind w:firstLine="321" w:firstLineChars="100"/>
        <w:outlineLvl w:val="1"/>
        <w:rPr>
          <w:rFonts w:ascii="仿宋" w:hAnsi="仿宋" w:eastAsia="仿宋" w:cs="仿宋"/>
          <w:b/>
          <w:sz w:val="32"/>
          <w:szCs w:val="32"/>
        </w:rPr>
      </w:pPr>
      <w:bookmarkStart w:id="8" w:name="_Toc16305"/>
      <w:r>
        <w:rPr>
          <w:rFonts w:hint="eastAsia" w:ascii="仿宋" w:hAnsi="仿宋" w:eastAsia="仿宋" w:cs="仿宋"/>
          <w:b/>
          <w:sz w:val="32"/>
          <w:szCs w:val="32"/>
        </w:rPr>
        <w:t>3.1项目决策性指标类</w:t>
      </w:r>
      <w:bookmarkEnd w:id="8"/>
    </w:p>
    <w:p>
      <w:pPr>
        <w:spacing w:line="560" w:lineRule="exact"/>
        <w:ind w:firstLine="560"/>
        <w:rPr>
          <w:rFonts w:ascii="仿宋" w:hAnsi="仿宋" w:eastAsia="仿宋" w:cs="仿宋"/>
          <w:sz w:val="32"/>
          <w:szCs w:val="32"/>
        </w:rPr>
      </w:pPr>
      <w:r>
        <w:rPr>
          <w:rFonts w:hint="eastAsia" w:ascii="仿宋" w:hAnsi="仿宋" w:eastAsia="仿宋" w:cs="仿宋"/>
          <w:sz w:val="32"/>
          <w:szCs w:val="32"/>
        </w:rPr>
        <w:t>决策性指标类由3个二级指标和5个三级指标构成，权重分为</w:t>
      </w:r>
      <w:r>
        <w:rPr>
          <w:rFonts w:hint="eastAsia" w:ascii="仿宋" w:hAnsi="仿宋" w:eastAsia="仿宋" w:cs="仿宋"/>
          <w:color w:val="000000" w:themeColor="text1"/>
          <w:sz w:val="32"/>
          <w:szCs w:val="32"/>
        </w:rPr>
        <w:t>15</w:t>
      </w:r>
      <w:r>
        <w:rPr>
          <w:rFonts w:hint="eastAsia" w:ascii="仿宋" w:hAnsi="仿宋" w:eastAsia="仿宋" w:cs="仿宋"/>
          <w:sz w:val="32"/>
          <w:szCs w:val="32"/>
        </w:rPr>
        <w:t>分，实际得分14分，得分率93.33%。</w:t>
      </w:r>
    </w:p>
    <w:p>
      <w:pPr>
        <w:spacing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A.决策性指标</w:t>
      </w:r>
    </w:p>
    <w:p>
      <w:pPr>
        <w:spacing w:line="560" w:lineRule="exact"/>
        <w:ind w:firstLine="560"/>
        <w:rPr>
          <w:rFonts w:ascii="仿宋" w:hAnsi="仿宋" w:eastAsia="仿宋" w:cs="仿宋"/>
          <w:sz w:val="32"/>
          <w:szCs w:val="32"/>
        </w:rPr>
      </w:pPr>
      <w:r>
        <w:rPr>
          <w:rFonts w:hint="eastAsia" w:ascii="仿宋" w:hAnsi="仿宋" w:eastAsia="仿宋" w:cs="仿宋"/>
          <w:sz w:val="32"/>
          <w:szCs w:val="32"/>
        </w:rPr>
        <w:t>主要考察项目预算的编制、决策依据、决策程序，目标设立是否细化、量化、明确，决策依据是否充分，决策程序是否规范。</w:t>
      </w:r>
    </w:p>
    <w:p>
      <w:pPr>
        <w:spacing w:line="560" w:lineRule="exact"/>
        <w:ind w:firstLine="560"/>
        <w:rPr>
          <w:rFonts w:ascii="仿宋" w:hAnsi="仿宋" w:eastAsia="仿宋" w:cs="仿宋"/>
          <w:sz w:val="32"/>
          <w:szCs w:val="32"/>
        </w:rPr>
      </w:pPr>
    </w:p>
    <w:p>
      <w:pPr>
        <w:spacing w:line="560" w:lineRule="exact"/>
        <w:ind w:firstLine="560"/>
        <w:rPr>
          <w:rFonts w:ascii="仿宋" w:hAnsi="仿宋" w:eastAsia="仿宋" w:cs="仿宋"/>
          <w:sz w:val="32"/>
          <w:szCs w:val="32"/>
        </w:rPr>
      </w:pPr>
      <w:r>
        <w:rPr>
          <w:rFonts w:hint="eastAsia" w:ascii="仿宋" w:hAnsi="仿宋" w:eastAsia="仿宋" w:cs="仿宋"/>
          <w:sz w:val="32"/>
          <w:szCs w:val="32"/>
        </w:rPr>
        <w:t>各指标业绩值和实际得分详见表3-1</w:t>
      </w:r>
    </w:p>
    <w:p>
      <w:pPr>
        <w:spacing w:line="560" w:lineRule="exact"/>
        <w:ind w:firstLine="560"/>
        <w:rPr>
          <w:rFonts w:ascii="仿宋" w:hAnsi="仿宋" w:eastAsia="仿宋" w:cs="仿宋"/>
          <w:sz w:val="32"/>
          <w:szCs w:val="32"/>
        </w:rPr>
      </w:pP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表3-1 决策性指标评分表</w:t>
      </w:r>
    </w:p>
    <w:tbl>
      <w:tblPr>
        <w:tblStyle w:val="10"/>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4"/>
        <w:gridCol w:w="930"/>
        <w:gridCol w:w="2160"/>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434" w:type="dxa"/>
            <w:vAlign w:val="center"/>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指标名称</w:t>
            </w:r>
          </w:p>
        </w:tc>
        <w:tc>
          <w:tcPr>
            <w:tcW w:w="930" w:type="dxa"/>
            <w:vAlign w:val="center"/>
          </w:tcPr>
          <w:p>
            <w:pPr>
              <w:spacing w:line="400" w:lineRule="exact"/>
              <w:jc w:val="center"/>
              <w:rPr>
                <w:rFonts w:ascii="仿宋" w:hAnsi="仿宋" w:eastAsia="仿宋" w:cs="仿宋"/>
                <w:kern w:val="0"/>
                <w:sz w:val="32"/>
                <w:szCs w:val="32"/>
              </w:rPr>
            </w:pPr>
            <w:r>
              <w:rPr>
                <w:rFonts w:hint="eastAsia" w:ascii="仿宋" w:hAnsi="仿宋" w:eastAsia="仿宋" w:cs="仿宋"/>
                <w:kern w:val="0"/>
                <w:sz w:val="32"/>
                <w:szCs w:val="32"/>
              </w:rPr>
              <w:t>指标权重</w:t>
            </w:r>
          </w:p>
        </w:tc>
        <w:tc>
          <w:tcPr>
            <w:tcW w:w="2160" w:type="dxa"/>
            <w:vAlign w:val="center"/>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业绩值</w:t>
            </w:r>
          </w:p>
        </w:tc>
        <w:tc>
          <w:tcPr>
            <w:tcW w:w="1034" w:type="dxa"/>
            <w:vAlign w:val="center"/>
          </w:tcPr>
          <w:p>
            <w:pPr>
              <w:spacing w:line="400" w:lineRule="exact"/>
              <w:jc w:val="center"/>
              <w:rPr>
                <w:rFonts w:ascii="仿宋" w:hAnsi="仿宋" w:eastAsia="仿宋" w:cs="仿宋"/>
                <w:kern w:val="0"/>
                <w:sz w:val="32"/>
                <w:szCs w:val="32"/>
              </w:rPr>
            </w:pPr>
            <w:r>
              <w:rPr>
                <w:rFonts w:hint="eastAsia" w:ascii="仿宋" w:hAnsi="仿宋" w:eastAsia="仿宋" w:cs="仿宋"/>
                <w:kern w:val="0"/>
                <w:sz w:val="32"/>
                <w:szCs w:val="32"/>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434" w:type="dxa"/>
          </w:tcPr>
          <w:p>
            <w:pPr>
              <w:spacing w:line="400" w:lineRule="exact"/>
              <w:jc w:val="left"/>
              <w:rPr>
                <w:rFonts w:ascii="仿宋" w:hAnsi="仿宋" w:eastAsia="仿宋" w:cs="仿宋"/>
                <w:kern w:val="0"/>
                <w:sz w:val="32"/>
                <w:szCs w:val="32"/>
              </w:rPr>
            </w:pPr>
            <w:r>
              <w:rPr>
                <w:rFonts w:hint="eastAsia" w:ascii="仿宋" w:hAnsi="仿宋" w:eastAsia="仿宋" w:cs="仿宋"/>
                <w:kern w:val="0"/>
                <w:sz w:val="32"/>
                <w:szCs w:val="32"/>
              </w:rPr>
              <w:t>A1 绩效目标</w:t>
            </w:r>
          </w:p>
        </w:tc>
        <w:tc>
          <w:tcPr>
            <w:tcW w:w="930" w:type="dxa"/>
          </w:tcPr>
          <w:p>
            <w:pPr>
              <w:spacing w:line="400" w:lineRule="exact"/>
              <w:ind w:firstLine="360"/>
              <w:jc w:val="center"/>
              <w:rPr>
                <w:rFonts w:ascii="仿宋" w:hAnsi="仿宋" w:eastAsia="仿宋" w:cs="仿宋"/>
                <w:kern w:val="0"/>
                <w:sz w:val="32"/>
                <w:szCs w:val="32"/>
              </w:rPr>
            </w:pPr>
          </w:p>
        </w:tc>
        <w:tc>
          <w:tcPr>
            <w:tcW w:w="2160" w:type="dxa"/>
          </w:tcPr>
          <w:p>
            <w:pPr>
              <w:spacing w:line="400" w:lineRule="exact"/>
              <w:ind w:firstLine="360"/>
              <w:jc w:val="center"/>
              <w:rPr>
                <w:rFonts w:ascii="仿宋" w:hAnsi="仿宋" w:eastAsia="仿宋" w:cs="仿宋"/>
                <w:kern w:val="0"/>
                <w:sz w:val="32"/>
                <w:szCs w:val="32"/>
              </w:rPr>
            </w:pPr>
          </w:p>
        </w:tc>
        <w:tc>
          <w:tcPr>
            <w:tcW w:w="1034" w:type="dxa"/>
          </w:tcPr>
          <w:p>
            <w:pPr>
              <w:spacing w:line="400" w:lineRule="exact"/>
              <w:ind w:firstLine="360"/>
              <w:jc w:val="center"/>
              <w:rPr>
                <w:rFonts w:ascii="仿宋" w:hAnsi="仿宋" w:eastAsia="仿宋" w:cs="仿宋"/>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434" w:type="dxa"/>
          </w:tcPr>
          <w:p>
            <w:pPr>
              <w:spacing w:line="400" w:lineRule="exact"/>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A1.1绩效指标明确性</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2160" w:type="dxa"/>
          </w:tcPr>
          <w:p>
            <w:pPr>
              <w:spacing w:line="400" w:lineRule="exact"/>
              <w:ind w:left="160" w:hanging="160" w:hangingChars="50"/>
              <w:rPr>
                <w:rFonts w:ascii="仿宋" w:hAnsi="仿宋" w:eastAsia="仿宋" w:cs="仿宋"/>
                <w:kern w:val="0"/>
                <w:sz w:val="32"/>
                <w:szCs w:val="32"/>
              </w:rPr>
            </w:pPr>
            <w:r>
              <w:rPr>
                <w:rFonts w:hint="eastAsia" w:ascii="仿宋" w:hAnsi="仿宋" w:eastAsia="仿宋" w:cs="仿宋"/>
                <w:kern w:val="0"/>
                <w:sz w:val="32"/>
                <w:szCs w:val="32"/>
              </w:rPr>
              <w:t>达标</w:t>
            </w: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434" w:type="dxa"/>
          </w:tcPr>
          <w:p>
            <w:pPr>
              <w:spacing w:line="400" w:lineRule="exact"/>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A1.2绩效指标科学合理性</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2160" w:type="dxa"/>
          </w:tcPr>
          <w:p>
            <w:pPr>
              <w:spacing w:line="400" w:lineRule="exact"/>
              <w:rPr>
                <w:rFonts w:ascii="仿宋" w:hAnsi="仿宋" w:eastAsia="仿宋" w:cs="仿宋"/>
                <w:kern w:val="0"/>
                <w:sz w:val="32"/>
                <w:szCs w:val="32"/>
              </w:rPr>
            </w:pPr>
            <w:r>
              <w:rPr>
                <w:rFonts w:hint="eastAsia" w:ascii="仿宋" w:hAnsi="仿宋" w:eastAsia="仿宋" w:cs="仿宋"/>
                <w:kern w:val="0"/>
                <w:sz w:val="32"/>
                <w:szCs w:val="32"/>
              </w:rPr>
              <w:t>对应性不足</w:t>
            </w: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434" w:type="dxa"/>
          </w:tcPr>
          <w:p>
            <w:pPr>
              <w:spacing w:line="400" w:lineRule="exact"/>
              <w:jc w:val="left"/>
              <w:rPr>
                <w:rFonts w:ascii="仿宋" w:hAnsi="仿宋" w:eastAsia="仿宋" w:cs="仿宋"/>
                <w:kern w:val="0"/>
                <w:sz w:val="32"/>
                <w:szCs w:val="32"/>
              </w:rPr>
            </w:pPr>
            <w:r>
              <w:rPr>
                <w:rFonts w:hint="eastAsia" w:ascii="仿宋" w:hAnsi="仿宋" w:eastAsia="仿宋" w:cs="仿宋"/>
                <w:kern w:val="0"/>
                <w:sz w:val="32"/>
                <w:szCs w:val="32"/>
              </w:rPr>
              <w:t>A2 决策过程</w:t>
            </w:r>
          </w:p>
        </w:tc>
        <w:tc>
          <w:tcPr>
            <w:tcW w:w="930" w:type="dxa"/>
          </w:tcPr>
          <w:p>
            <w:pPr>
              <w:spacing w:line="400" w:lineRule="exact"/>
              <w:ind w:firstLine="360"/>
              <w:jc w:val="center"/>
              <w:rPr>
                <w:rFonts w:ascii="仿宋" w:hAnsi="仿宋" w:eastAsia="仿宋" w:cs="仿宋"/>
                <w:kern w:val="0"/>
                <w:sz w:val="32"/>
                <w:szCs w:val="32"/>
              </w:rPr>
            </w:pPr>
          </w:p>
        </w:tc>
        <w:tc>
          <w:tcPr>
            <w:tcW w:w="2160" w:type="dxa"/>
          </w:tcPr>
          <w:p>
            <w:pPr>
              <w:spacing w:line="400" w:lineRule="exact"/>
              <w:ind w:firstLine="360"/>
              <w:jc w:val="center"/>
              <w:rPr>
                <w:rFonts w:ascii="仿宋" w:hAnsi="仿宋" w:eastAsia="仿宋" w:cs="仿宋"/>
                <w:kern w:val="0"/>
                <w:sz w:val="32"/>
                <w:szCs w:val="32"/>
              </w:rPr>
            </w:pPr>
          </w:p>
        </w:tc>
        <w:tc>
          <w:tcPr>
            <w:tcW w:w="1034" w:type="dxa"/>
          </w:tcPr>
          <w:p>
            <w:pPr>
              <w:spacing w:line="400" w:lineRule="exact"/>
              <w:ind w:firstLine="360"/>
              <w:jc w:val="center"/>
              <w:rPr>
                <w:rFonts w:ascii="仿宋" w:hAnsi="仿宋" w:eastAsia="仿宋" w:cs="仿宋"/>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434" w:type="dxa"/>
          </w:tcPr>
          <w:p>
            <w:pPr>
              <w:spacing w:line="400" w:lineRule="exact"/>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A2.1决策依据</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2160" w:type="dxa"/>
          </w:tcPr>
          <w:p>
            <w:pPr>
              <w:spacing w:line="400" w:lineRule="exact"/>
              <w:rPr>
                <w:rFonts w:ascii="仿宋" w:hAnsi="仿宋" w:eastAsia="仿宋" w:cs="仿宋"/>
                <w:kern w:val="0"/>
                <w:sz w:val="32"/>
                <w:szCs w:val="32"/>
              </w:rPr>
            </w:pPr>
            <w:r>
              <w:rPr>
                <w:rFonts w:hint="eastAsia" w:ascii="仿宋" w:hAnsi="仿宋" w:eastAsia="仿宋" w:cs="仿宋"/>
                <w:kern w:val="0"/>
                <w:sz w:val="32"/>
                <w:szCs w:val="32"/>
              </w:rPr>
              <w:t>达标</w:t>
            </w: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434" w:type="dxa"/>
          </w:tcPr>
          <w:p>
            <w:pPr>
              <w:spacing w:line="400" w:lineRule="exact"/>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A2.2决策程序</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2160" w:type="dxa"/>
          </w:tcPr>
          <w:p>
            <w:pPr>
              <w:spacing w:line="400" w:lineRule="exact"/>
              <w:rPr>
                <w:rFonts w:ascii="仿宋" w:hAnsi="仿宋" w:eastAsia="仿宋" w:cs="仿宋"/>
                <w:kern w:val="0"/>
                <w:sz w:val="32"/>
                <w:szCs w:val="32"/>
              </w:rPr>
            </w:pPr>
            <w:r>
              <w:rPr>
                <w:rFonts w:hint="eastAsia" w:ascii="仿宋" w:hAnsi="仿宋" w:eastAsia="仿宋" w:cs="仿宋"/>
                <w:kern w:val="0"/>
                <w:sz w:val="32"/>
                <w:szCs w:val="32"/>
              </w:rPr>
              <w:t>达标</w:t>
            </w: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434" w:type="dxa"/>
          </w:tcPr>
          <w:p>
            <w:pPr>
              <w:spacing w:line="400" w:lineRule="exact"/>
              <w:jc w:val="left"/>
              <w:rPr>
                <w:rFonts w:ascii="仿宋" w:hAnsi="仿宋" w:eastAsia="仿宋" w:cs="仿宋"/>
                <w:kern w:val="0"/>
                <w:sz w:val="32"/>
                <w:szCs w:val="32"/>
              </w:rPr>
            </w:pPr>
            <w:r>
              <w:rPr>
                <w:rFonts w:hint="eastAsia" w:ascii="仿宋" w:hAnsi="仿宋" w:eastAsia="仿宋" w:cs="仿宋"/>
                <w:kern w:val="0"/>
                <w:sz w:val="32"/>
                <w:szCs w:val="32"/>
              </w:rPr>
              <w:t>A3 资金分配</w:t>
            </w:r>
          </w:p>
        </w:tc>
        <w:tc>
          <w:tcPr>
            <w:tcW w:w="930" w:type="dxa"/>
          </w:tcPr>
          <w:p>
            <w:pPr>
              <w:spacing w:line="400" w:lineRule="exact"/>
              <w:ind w:firstLine="360"/>
              <w:jc w:val="center"/>
              <w:rPr>
                <w:rFonts w:ascii="仿宋" w:hAnsi="仿宋" w:eastAsia="仿宋" w:cs="仿宋"/>
                <w:kern w:val="0"/>
                <w:sz w:val="32"/>
                <w:szCs w:val="32"/>
              </w:rPr>
            </w:pPr>
          </w:p>
        </w:tc>
        <w:tc>
          <w:tcPr>
            <w:tcW w:w="2160" w:type="dxa"/>
          </w:tcPr>
          <w:p>
            <w:pPr>
              <w:spacing w:line="400" w:lineRule="exact"/>
              <w:ind w:firstLine="360"/>
              <w:jc w:val="center"/>
              <w:rPr>
                <w:rFonts w:ascii="仿宋" w:hAnsi="仿宋" w:eastAsia="仿宋" w:cs="仿宋"/>
                <w:kern w:val="0"/>
                <w:sz w:val="32"/>
                <w:szCs w:val="32"/>
              </w:rPr>
            </w:pPr>
          </w:p>
        </w:tc>
        <w:tc>
          <w:tcPr>
            <w:tcW w:w="1034" w:type="dxa"/>
          </w:tcPr>
          <w:p>
            <w:pPr>
              <w:spacing w:line="400" w:lineRule="exact"/>
              <w:ind w:firstLine="360"/>
              <w:jc w:val="center"/>
              <w:rPr>
                <w:rFonts w:ascii="仿宋" w:hAnsi="仿宋" w:eastAsia="仿宋" w:cs="仿宋"/>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434" w:type="dxa"/>
          </w:tcPr>
          <w:p>
            <w:pPr>
              <w:spacing w:line="400" w:lineRule="exact"/>
              <w:ind w:firstLine="160" w:firstLineChars="50"/>
              <w:jc w:val="left"/>
              <w:rPr>
                <w:rFonts w:ascii="仿宋" w:hAnsi="仿宋" w:eastAsia="仿宋" w:cs="仿宋"/>
                <w:kern w:val="0"/>
                <w:sz w:val="32"/>
                <w:szCs w:val="32"/>
              </w:rPr>
            </w:pPr>
            <w:r>
              <w:rPr>
                <w:rFonts w:hint="eastAsia" w:ascii="仿宋" w:hAnsi="仿宋" w:eastAsia="仿宋" w:cs="仿宋"/>
                <w:kern w:val="0"/>
                <w:sz w:val="32"/>
                <w:szCs w:val="32"/>
              </w:rPr>
              <w:t>A3.1分配办法</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c>
          <w:tcPr>
            <w:tcW w:w="2160" w:type="dxa"/>
          </w:tcPr>
          <w:p>
            <w:pPr>
              <w:spacing w:line="400" w:lineRule="exact"/>
              <w:rPr>
                <w:rFonts w:ascii="仿宋" w:hAnsi="仿宋" w:eastAsia="仿宋" w:cs="仿宋"/>
                <w:kern w:val="0"/>
                <w:sz w:val="32"/>
                <w:szCs w:val="32"/>
              </w:rPr>
            </w:pPr>
            <w:r>
              <w:rPr>
                <w:rFonts w:hint="eastAsia" w:ascii="仿宋" w:hAnsi="仿宋" w:eastAsia="仿宋" w:cs="仿宋"/>
                <w:kern w:val="0"/>
                <w:sz w:val="32"/>
                <w:szCs w:val="32"/>
              </w:rPr>
              <w:t>达标</w:t>
            </w: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4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小计</w:t>
            </w:r>
          </w:p>
        </w:tc>
        <w:tc>
          <w:tcPr>
            <w:tcW w:w="930"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2160" w:type="dxa"/>
          </w:tcPr>
          <w:p>
            <w:pPr>
              <w:spacing w:line="400" w:lineRule="exact"/>
              <w:ind w:firstLine="360"/>
              <w:jc w:val="center"/>
              <w:rPr>
                <w:rFonts w:ascii="仿宋" w:hAnsi="仿宋" w:eastAsia="仿宋" w:cs="仿宋"/>
                <w:kern w:val="0"/>
                <w:sz w:val="32"/>
                <w:szCs w:val="32"/>
              </w:rPr>
            </w:pPr>
          </w:p>
        </w:tc>
        <w:tc>
          <w:tcPr>
            <w:tcW w:w="1034" w:type="dxa"/>
          </w:tcPr>
          <w:p>
            <w:pPr>
              <w:spacing w:line="400" w:lineRule="exact"/>
              <w:ind w:firstLine="360"/>
              <w:jc w:val="center"/>
              <w:rPr>
                <w:rFonts w:ascii="仿宋" w:hAnsi="仿宋" w:eastAsia="仿宋" w:cs="仿宋"/>
                <w:kern w:val="0"/>
                <w:sz w:val="32"/>
                <w:szCs w:val="32"/>
              </w:rPr>
            </w:pPr>
            <w:r>
              <w:rPr>
                <w:rFonts w:hint="eastAsia" w:ascii="仿宋" w:hAnsi="仿宋" w:eastAsia="仿宋" w:cs="仿宋"/>
                <w:kern w:val="0"/>
                <w:sz w:val="32"/>
                <w:szCs w:val="32"/>
              </w:rPr>
              <w:t>14</w:t>
            </w:r>
          </w:p>
        </w:tc>
      </w:tr>
    </w:tbl>
    <w:p>
      <w:pPr>
        <w:ind w:firstLine="320" w:firstLineChars="100"/>
        <w:rPr>
          <w:rFonts w:ascii="仿宋" w:hAnsi="仿宋" w:eastAsia="仿宋"/>
          <w:sz w:val="32"/>
          <w:szCs w:val="32"/>
        </w:rPr>
      </w:pP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  绩效目标</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A1.1绩效指标明确性</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区自然资源分局提供了该项目支出绩效自评表，自评表共设置4个一级指标、6个二级指标和6个三级指标。 6个三级指标中有量化指标5个，实现了大部分指标可清晰衡量的要求，指标按三级进行设置，基本细化、明确。因此，评价认为项目绩效指标明确性目标值实现。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该项指标满分3分，根据评分标准得3分。</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A1.2绩效指标科学合理性</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绩效目标设置依据充分、与预算资金相匹配；三级时效指标设置的目标值“2022年12月底前完成支付”与项目计划的支付进度不对应。因此，评价认为项目绩效指标设置依据预算计划，与项目年度预算资金相匹配，但未能与计划数相对应，项目绩效指标科学合理性目标值未完全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该项指标满分3分，根据评分标准得2分。</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  决策过程</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A2.1 决策依据</w:t>
      </w:r>
    </w:p>
    <w:p>
      <w:pPr>
        <w:ind w:firstLine="320" w:firstLineChars="100"/>
        <w:rPr>
          <w:rFonts w:ascii="仿宋" w:hAnsi="仿宋" w:eastAsia="仿宋"/>
          <w:sz w:val="32"/>
          <w:szCs w:val="32"/>
        </w:rPr>
      </w:pPr>
      <w:r>
        <w:rPr>
          <w:rFonts w:ascii="仿宋" w:hAnsi="仿宋" w:eastAsia="仿宋" w:cs="仿宋"/>
          <w:sz w:val="32"/>
          <w:szCs w:val="32"/>
        </w:rPr>
        <w:t>项目立项符合国家法律法规、国民经济发展规划、行业发展规划和相关政策</w:t>
      </w:r>
      <w:r>
        <w:rPr>
          <w:rFonts w:hint="eastAsia" w:ascii="仿宋" w:hAnsi="仿宋" w:eastAsia="仿宋" w:cs="仿宋"/>
          <w:sz w:val="32"/>
          <w:szCs w:val="32"/>
        </w:rPr>
        <w:t>；</w:t>
      </w:r>
      <w:r>
        <w:rPr>
          <w:rFonts w:ascii="仿宋" w:hAnsi="仿宋" w:eastAsia="仿宋" w:cs="仿宋"/>
          <w:sz w:val="32"/>
          <w:szCs w:val="32"/>
        </w:rPr>
        <w:t>项目立项与部门职责范围相符，属于部门履职所需</w:t>
      </w:r>
      <w:r>
        <w:rPr>
          <w:rFonts w:hint="eastAsia" w:ascii="仿宋" w:hAnsi="仿宋" w:eastAsia="仿宋" w:cs="仿宋"/>
          <w:sz w:val="32"/>
          <w:szCs w:val="32"/>
        </w:rPr>
        <w:t>。因此，评价认为决策依据指标实现目标值。</w:t>
      </w:r>
    </w:p>
    <w:p>
      <w:pPr>
        <w:ind w:firstLine="320" w:firstLineChars="100"/>
        <w:rPr>
          <w:rFonts w:ascii="仿宋" w:hAnsi="仿宋" w:eastAsia="仿宋" w:cs="仿宋"/>
          <w:sz w:val="32"/>
          <w:szCs w:val="32"/>
        </w:rPr>
      </w:pPr>
      <w:r>
        <w:rPr>
          <w:rFonts w:hint="eastAsia" w:ascii="仿宋" w:hAnsi="仿宋" w:eastAsia="仿宋" w:cs="仿宋"/>
          <w:sz w:val="32"/>
          <w:szCs w:val="32"/>
        </w:rPr>
        <w:t>该项指标满分3分，根据评分标准得3分。</w:t>
      </w:r>
    </w:p>
    <w:p>
      <w:pPr>
        <w:ind w:firstLine="320" w:firstLineChars="100"/>
        <w:rPr>
          <w:rFonts w:ascii="仿宋" w:hAnsi="仿宋" w:eastAsia="仿宋" w:cs="仿宋"/>
          <w:sz w:val="32"/>
          <w:szCs w:val="32"/>
        </w:rPr>
      </w:pPr>
      <w:r>
        <w:rPr>
          <w:rFonts w:hint="eastAsia" w:ascii="仿宋" w:hAnsi="仿宋" w:eastAsia="仿宋" w:cs="仿宋"/>
          <w:sz w:val="32"/>
          <w:szCs w:val="32"/>
        </w:rPr>
        <w:t xml:space="preserve">A2.2 决策程序 </w:t>
      </w:r>
    </w:p>
    <w:p>
      <w:pPr>
        <w:ind w:firstLine="320" w:firstLineChars="100"/>
        <w:rPr>
          <w:rFonts w:ascii="仿宋" w:hAnsi="仿宋" w:eastAsia="仿宋"/>
          <w:sz w:val="32"/>
          <w:szCs w:val="32"/>
        </w:rPr>
      </w:pPr>
      <w:r>
        <w:rPr>
          <w:rFonts w:hint="eastAsia" w:ascii="仿宋" w:hAnsi="仿宋" w:eastAsia="仿宋" w:cs="仿宋"/>
          <w:sz w:val="32"/>
          <w:szCs w:val="32"/>
        </w:rPr>
        <w:t>项目申报、批复、调整程序符合相关管理办法。因此，评价认为项目决策程序合法合规，预期目标值实现。</w:t>
      </w:r>
    </w:p>
    <w:p>
      <w:pPr>
        <w:ind w:firstLine="320" w:firstLineChars="100"/>
        <w:rPr>
          <w:rFonts w:ascii="仿宋" w:hAnsi="仿宋" w:eastAsia="仿宋" w:cs="仿宋"/>
          <w:sz w:val="32"/>
          <w:szCs w:val="32"/>
        </w:rPr>
      </w:pPr>
      <w:r>
        <w:rPr>
          <w:rFonts w:hint="eastAsia" w:ascii="仿宋" w:hAnsi="仿宋" w:eastAsia="仿宋" w:cs="仿宋"/>
          <w:sz w:val="32"/>
          <w:szCs w:val="32"/>
        </w:rPr>
        <w:t>该项指标满分3分，根据评分标准得 3分。</w:t>
      </w:r>
    </w:p>
    <w:p>
      <w:pPr>
        <w:ind w:firstLine="320" w:firstLineChars="100"/>
        <w:rPr>
          <w:rFonts w:ascii="仿宋" w:hAnsi="仿宋" w:eastAsia="仿宋" w:cs="仿宋"/>
          <w:sz w:val="32"/>
          <w:szCs w:val="32"/>
        </w:rPr>
      </w:pPr>
      <w:r>
        <w:rPr>
          <w:rFonts w:hint="eastAsia" w:ascii="仿宋" w:hAnsi="仿宋" w:eastAsia="仿宋" w:cs="仿宋"/>
          <w:sz w:val="32"/>
          <w:szCs w:val="32"/>
        </w:rPr>
        <w:t>A3  资金分配</w:t>
      </w:r>
    </w:p>
    <w:p>
      <w:pPr>
        <w:ind w:firstLine="320" w:firstLineChars="100"/>
        <w:rPr>
          <w:rFonts w:ascii="仿宋" w:hAnsi="仿宋" w:eastAsia="仿宋" w:cs="仿宋"/>
          <w:sz w:val="32"/>
          <w:szCs w:val="32"/>
        </w:rPr>
      </w:pPr>
      <w:r>
        <w:rPr>
          <w:rFonts w:hint="eastAsia" w:ascii="仿宋" w:hAnsi="仿宋" w:eastAsia="仿宋" w:cs="仿宋"/>
          <w:sz w:val="32"/>
          <w:szCs w:val="32"/>
        </w:rPr>
        <w:t>A3.1 资金分配办法</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项目资金测算依据相关文件精神、资金额度分配合理、与实际相适应。因此，评价认为项目资金分配办法目标值实现。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该项指标满分3分，根据评分标准得3分。</w:t>
      </w:r>
    </w:p>
    <w:p>
      <w:pPr>
        <w:ind w:firstLine="321" w:firstLineChars="100"/>
        <w:outlineLvl w:val="1"/>
        <w:rPr>
          <w:rFonts w:ascii="仿宋" w:hAnsi="仿宋" w:eastAsia="仿宋" w:cs="仿宋"/>
          <w:b/>
          <w:sz w:val="32"/>
          <w:szCs w:val="32"/>
        </w:rPr>
      </w:pPr>
      <w:bookmarkStart w:id="9" w:name="_Toc22088"/>
      <w:r>
        <w:rPr>
          <w:rFonts w:hint="eastAsia" w:ascii="仿宋" w:hAnsi="仿宋" w:eastAsia="仿宋" w:cs="仿宋"/>
          <w:b/>
          <w:sz w:val="32"/>
          <w:szCs w:val="32"/>
        </w:rPr>
        <w:t>3.2项目管理性指标类</w:t>
      </w:r>
      <w:bookmarkEnd w:id="9"/>
    </w:p>
    <w:p>
      <w:pPr>
        <w:spacing w:line="560" w:lineRule="exact"/>
        <w:ind w:firstLine="560"/>
        <w:rPr>
          <w:rFonts w:ascii="仿宋" w:hAnsi="仿宋" w:eastAsia="仿宋" w:cs="仿宋"/>
          <w:sz w:val="32"/>
          <w:szCs w:val="32"/>
        </w:rPr>
      </w:pPr>
      <w:r>
        <w:rPr>
          <w:rFonts w:hint="eastAsia" w:ascii="仿宋" w:hAnsi="仿宋" w:eastAsia="仿宋" w:cs="仿宋"/>
          <w:sz w:val="32"/>
          <w:szCs w:val="32"/>
        </w:rPr>
        <w:t>管理性指标类由3个二级指标和9个三级指标构成，权重分为</w:t>
      </w:r>
      <w:r>
        <w:rPr>
          <w:rFonts w:hint="eastAsia" w:ascii="仿宋" w:hAnsi="仿宋" w:eastAsia="仿宋" w:cs="仿宋"/>
          <w:color w:val="000000" w:themeColor="text1"/>
          <w:sz w:val="32"/>
          <w:szCs w:val="32"/>
        </w:rPr>
        <w:t>25</w:t>
      </w:r>
      <w:r>
        <w:rPr>
          <w:rFonts w:hint="eastAsia" w:ascii="仿宋" w:hAnsi="仿宋" w:eastAsia="仿宋" w:cs="仿宋"/>
          <w:sz w:val="32"/>
          <w:szCs w:val="32"/>
        </w:rPr>
        <w:t>分，实际得分20分，得分率80%。</w:t>
      </w:r>
    </w:p>
    <w:p>
      <w:pPr>
        <w:spacing w:line="560" w:lineRule="exact"/>
        <w:ind w:firstLine="643" w:firstLineChars="200"/>
        <w:rPr>
          <w:rFonts w:ascii="仿宋" w:hAnsi="仿宋" w:eastAsia="仿宋" w:cs="仿宋"/>
          <w:b/>
          <w:sz w:val="32"/>
          <w:szCs w:val="32"/>
        </w:rPr>
      </w:pPr>
      <w:r>
        <w:rPr>
          <w:rFonts w:hint="eastAsia" w:ascii="仿宋" w:hAnsi="仿宋" w:eastAsia="仿宋" w:cs="仿宋"/>
          <w:b/>
          <w:sz w:val="32"/>
          <w:szCs w:val="32"/>
        </w:rPr>
        <w:t>B.管理性指标</w:t>
      </w:r>
    </w:p>
    <w:p>
      <w:pPr>
        <w:spacing w:line="560" w:lineRule="exact"/>
        <w:ind w:firstLine="560"/>
        <w:rPr>
          <w:rFonts w:ascii="仿宋" w:hAnsi="仿宋" w:eastAsia="仿宋" w:cs="仿宋"/>
          <w:sz w:val="32"/>
          <w:szCs w:val="32"/>
        </w:rPr>
      </w:pPr>
      <w:r>
        <w:rPr>
          <w:rFonts w:hint="eastAsia" w:ascii="仿宋" w:hAnsi="仿宋" w:eastAsia="仿宋" w:cs="仿宋"/>
          <w:sz w:val="32"/>
          <w:szCs w:val="32"/>
        </w:rPr>
        <w:t>主要考察是否根据批复的预算和用途使用项目资金。项目实施过程中的管理、监督和核算是否符合相关规定。</w:t>
      </w:r>
    </w:p>
    <w:p>
      <w:pPr>
        <w:spacing w:line="560" w:lineRule="exact"/>
        <w:jc w:val="center"/>
        <w:rPr>
          <w:rFonts w:ascii="仿宋" w:hAnsi="仿宋" w:eastAsia="仿宋" w:cs="仿宋"/>
          <w:sz w:val="32"/>
          <w:szCs w:val="32"/>
        </w:rPr>
      </w:pPr>
      <w:r>
        <w:rPr>
          <w:rFonts w:hint="eastAsia" w:ascii="仿宋" w:hAnsi="仿宋" w:eastAsia="仿宋" w:cs="仿宋"/>
          <w:sz w:val="32"/>
          <w:szCs w:val="32"/>
        </w:rPr>
        <w:t>各指标业绩值和实际得分详见表3-2</w:t>
      </w: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表3-2 管理性指标评分表</w:t>
      </w:r>
    </w:p>
    <w:tbl>
      <w:tblPr>
        <w:tblStyle w:val="10"/>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5"/>
        <w:gridCol w:w="793"/>
        <w:gridCol w:w="2769"/>
        <w:gridCol w:w="1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885"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指标名称</w:t>
            </w:r>
          </w:p>
        </w:tc>
        <w:tc>
          <w:tcPr>
            <w:tcW w:w="793" w:type="dxa"/>
          </w:tcPr>
          <w:p>
            <w:pPr>
              <w:spacing w:line="340" w:lineRule="exact"/>
              <w:rPr>
                <w:rFonts w:ascii="仿宋" w:hAnsi="仿宋" w:eastAsia="仿宋" w:cs="仿宋"/>
                <w:kern w:val="0"/>
                <w:sz w:val="28"/>
                <w:szCs w:val="28"/>
              </w:rPr>
            </w:pPr>
            <w:r>
              <w:rPr>
                <w:rFonts w:hint="eastAsia" w:ascii="仿宋" w:hAnsi="仿宋" w:eastAsia="仿宋" w:cs="仿宋"/>
                <w:kern w:val="0"/>
                <w:sz w:val="28"/>
                <w:szCs w:val="28"/>
              </w:rPr>
              <w:t>指标权重</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业绩值</w:t>
            </w:r>
          </w:p>
        </w:tc>
        <w:tc>
          <w:tcPr>
            <w:tcW w:w="1091" w:type="dxa"/>
          </w:tcPr>
          <w:p>
            <w:pPr>
              <w:spacing w:line="340" w:lineRule="exact"/>
              <w:rPr>
                <w:rFonts w:ascii="仿宋" w:hAnsi="仿宋" w:eastAsia="仿宋" w:cs="仿宋"/>
                <w:kern w:val="0"/>
                <w:sz w:val="28"/>
                <w:szCs w:val="28"/>
              </w:rPr>
            </w:pPr>
            <w:r>
              <w:rPr>
                <w:rFonts w:hint="eastAsia" w:ascii="仿宋" w:hAnsi="仿宋" w:eastAsia="仿宋" w:cs="仿宋"/>
                <w:kern w:val="0"/>
                <w:sz w:val="28"/>
                <w:szCs w:val="28"/>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3885" w:type="dxa"/>
          </w:tcPr>
          <w:p>
            <w:pPr>
              <w:spacing w:line="340" w:lineRule="exact"/>
              <w:jc w:val="left"/>
              <w:rPr>
                <w:rFonts w:ascii="仿宋" w:hAnsi="仿宋" w:eastAsia="仿宋" w:cs="仿宋"/>
                <w:kern w:val="0"/>
                <w:sz w:val="28"/>
                <w:szCs w:val="28"/>
              </w:rPr>
            </w:pPr>
            <w:r>
              <w:rPr>
                <w:rFonts w:hint="eastAsia" w:ascii="仿宋" w:hAnsi="仿宋" w:eastAsia="仿宋" w:cs="仿宋"/>
                <w:kern w:val="0"/>
                <w:sz w:val="28"/>
                <w:szCs w:val="28"/>
              </w:rPr>
              <w:t>B1 资金落实</w:t>
            </w:r>
          </w:p>
        </w:tc>
        <w:tc>
          <w:tcPr>
            <w:tcW w:w="793" w:type="dxa"/>
          </w:tcPr>
          <w:p>
            <w:pPr>
              <w:spacing w:line="340" w:lineRule="exact"/>
              <w:ind w:firstLine="360"/>
              <w:jc w:val="center"/>
              <w:rPr>
                <w:rFonts w:ascii="仿宋" w:hAnsi="仿宋" w:eastAsia="仿宋" w:cs="仿宋"/>
                <w:kern w:val="0"/>
                <w:sz w:val="28"/>
                <w:szCs w:val="28"/>
              </w:rPr>
            </w:pPr>
          </w:p>
        </w:tc>
        <w:tc>
          <w:tcPr>
            <w:tcW w:w="2769" w:type="dxa"/>
          </w:tcPr>
          <w:p>
            <w:pPr>
              <w:spacing w:line="340" w:lineRule="exact"/>
              <w:ind w:firstLine="360"/>
              <w:jc w:val="center"/>
              <w:rPr>
                <w:rFonts w:ascii="仿宋" w:hAnsi="仿宋" w:eastAsia="仿宋" w:cs="仿宋"/>
                <w:kern w:val="0"/>
                <w:sz w:val="28"/>
                <w:szCs w:val="28"/>
              </w:rPr>
            </w:pPr>
          </w:p>
        </w:tc>
        <w:tc>
          <w:tcPr>
            <w:tcW w:w="1091" w:type="dxa"/>
          </w:tcPr>
          <w:p>
            <w:pPr>
              <w:spacing w:line="340" w:lineRule="exact"/>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B1.1资金到位率</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3</w:t>
            </w:r>
          </w:p>
        </w:tc>
        <w:tc>
          <w:tcPr>
            <w:tcW w:w="2769"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28.86%</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B1.2预算执行率</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3</w:t>
            </w:r>
          </w:p>
        </w:tc>
        <w:tc>
          <w:tcPr>
            <w:tcW w:w="2769"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100%</w:t>
            </w:r>
          </w:p>
        </w:tc>
        <w:tc>
          <w:tcPr>
            <w:tcW w:w="1091" w:type="dxa"/>
          </w:tcPr>
          <w:p>
            <w:pPr>
              <w:spacing w:line="340" w:lineRule="exact"/>
              <w:ind w:right="140"/>
              <w:jc w:val="right"/>
              <w:rPr>
                <w:rFonts w:ascii="仿宋" w:hAnsi="仿宋" w:eastAsia="仿宋" w:cs="仿宋"/>
                <w:kern w:val="0"/>
                <w:sz w:val="28"/>
                <w:szCs w:val="28"/>
              </w:rPr>
            </w:pPr>
            <w:r>
              <w:rPr>
                <w:rFonts w:hint="eastAsia" w:ascii="仿宋" w:hAnsi="仿宋" w:eastAsia="仿宋" w:cs="仿宋"/>
                <w:kern w:val="0"/>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3885" w:type="dxa"/>
          </w:tcPr>
          <w:p>
            <w:pPr>
              <w:spacing w:line="340" w:lineRule="exact"/>
              <w:jc w:val="left"/>
              <w:rPr>
                <w:rFonts w:ascii="仿宋" w:hAnsi="仿宋" w:eastAsia="仿宋" w:cs="仿宋"/>
                <w:kern w:val="0"/>
                <w:sz w:val="28"/>
                <w:szCs w:val="28"/>
              </w:rPr>
            </w:pPr>
            <w:r>
              <w:rPr>
                <w:rFonts w:hint="eastAsia" w:ascii="仿宋" w:hAnsi="仿宋" w:eastAsia="仿宋" w:cs="仿宋"/>
                <w:kern w:val="0"/>
                <w:sz w:val="28"/>
                <w:szCs w:val="28"/>
              </w:rPr>
              <w:t>B2 资金管理</w:t>
            </w:r>
          </w:p>
        </w:tc>
        <w:tc>
          <w:tcPr>
            <w:tcW w:w="793" w:type="dxa"/>
          </w:tcPr>
          <w:p>
            <w:pPr>
              <w:spacing w:line="340" w:lineRule="exact"/>
              <w:ind w:firstLine="360"/>
              <w:jc w:val="center"/>
              <w:rPr>
                <w:rFonts w:ascii="仿宋" w:hAnsi="仿宋" w:eastAsia="仿宋" w:cs="仿宋"/>
                <w:kern w:val="0"/>
                <w:sz w:val="28"/>
                <w:szCs w:val="28"/>
              </w:rPr>
            </w:pPr>
          </w:p>
        </w:tc>
        <w:tc>
          <w:tcPr>
            <w:tcW w:w="2769" w:type="dxa"/>
          </w:tcPr>
          <w:p>
            <w:pPr>
              <w:spacing w:line="340" w:lineRule="exact"/>
              <w:ind w:firstLine="360"/>
              <w:jc w:val="center"/>
              <w:rPr>
                <w:rFonts w:ascii="仿宋" w:hAnsi="仿宋" w:eastAsia="仿宋" w:cs="仿宋"/>
                <w:kern w:val="0"/>
                <w:sz w:val="28"/>
                <w:szCs w:val="28"/>
              </w:rPr>
            </w:pPr>
          </w:p>
        </w:tc>
        <w:tc>
          <w:tcPr>
            <w:tcW w:w="1091" w:type="dxa"/>
          </w:tcPr>
          <w:p>
            <w:pPr>
              <w:spacing w:line="340" w:lineRule="exact"/>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B2.1资金使用</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c>
          <w:tcPr>
            <w:tcW w:w="2769" w:type="dxa"/>
          </w:tcPr>
          <w:p>
            <w:pPr>
              <w:spacing w:line="340" w:lineRule="exact"/>
              <w:ind w:firstLine="420" w:firstLineChars="150"/>
              <w:rPr>
                <w:rFonts w:ascii="仿宋" w:hAnsi="仿宋" w:eastAsia="仿宋" w:cs="仿宋"/>
                <w:kern w:val="0"/>
                <w:sz w:val="28"/>
                <w:szCs w:val="28"/>
              </w:rPr>
            </w:pPr>
            <w:r>
              <w:rPr>
                <w:rFonts w:hint="eastAsia" w:ascii="仿宋" w:hAnsi="仿宋" w:eastAsia="仿宋" w:cs="仿宋"/>
                <w:kern w:val="0"/>
                <w:sz w:val="28"/>
                <w:szCs w:val="28"/>
              </w:rPr>
              <w:t>达标</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B2.2财务管理</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3</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达标</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3885" w:type="dxa"/>
          </w:tcPr>
          <w:p>
            <w:pPr>
              <w:spacing w:line="340" w:lineRule="exact"/>
              <w:jc w:val="left"/>
              <w:rPr>
                <w:rFonts w:ascii="仿宋" w:hAnsi="仿宋" w:eastAsia="仿宋" w:cs="仿宋"/>
                <w:kern w:val="0"/>
                <w:sz w:val="28"/>
                <w:szCs w:val="28"/>
              </w:rPr>
            </w:pPr>
            <w:r>
              <w:rPr>
                <w:rFonts w:hint="eastAsia" w:ascii="仿宋" w:hAnsi="仿宋" w:eastAsia="仿宋" w:cs="仿宋"/>
                <w:kern w:val="0"/>
                <w:sz w:val="28"/>
                <w:szCs w:val="28"/>
              </w:rPr>
              <w:t>B3 组织实施</w:t>
            </w:r>
          </w:p>
        </w:tc>
        <w:tc>
          <w:tcPr>
            <w:tcW w:w="793" w:type="dxa"/>
          </w:tcPr>
          <w:p>
            <w:pPr>
              <w:spacing w:line="340" w:lineRule="exact"/>
              <w:ind w:firstLine="360"/>
              <w:jc w:val="center"/>
              <w:rPr>
                <w:rFonts w:ascii="仿宋" w:hAnsi="仿宋" w:eastAsia="仿宋" w:cs="仿宋"/>
                <w:kern w:val="0"/>
                <w:sz w:val="28"/>
                <w:szCs w:val="28"/>
              </w:rPr>
            </w:pPr>
          </w:p>
        </w:tc>
        <w:tc>
          <w:tcPr>
            <w:tcW w:w="2769" w:type="dxa"/>
          </w:tcPr>
          <w:p>
            <w:pPr>
              <w:spacing w:line="340" w:lineRule="exact"/>
              <w:ind w:firstLine="360"/>
              <w:jc w:val="center"/>
              <w:rPr>
                <w:rFonts w:ascii="仿宋" w:hAnsi="仿宋" w:eastAsia="仿宋" w:cs="仿宋"/>
                <w:kern w:val="0"/>
                <w:sz w:val="28"/>
                <w:szCs w:val="28"/>
              </w:rPr>
            </w:pPr>
          </w:p>
        </w:tc>
        <w:tc>
          <w:tcPr>
            <w:tcW w:w="1091" w:type="dxa"/>
          </w:tcPr>
          <w:p>
            <w:pPr>
              <w:spacing w:line="340" w:lineRule="exact"/>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B3.1组织机构</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达标</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B3.2 管理制度</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c>
          <w:tcPr>
            <w:tcW w:w="2769" w:type="dxa"/>
          </w:tcPr>
          <w:p>
            <w:pPr>
              <w:spacing w:line="340" w:lineRule="exact"/>
              <w:ind w:firstLine="420" w:firstLineChars="150"/>
              <w:rPr>
                <w:rFonts w:ascii="仿宋" w:hAnsi="仿宋" w:eastAsia="仿宋" w:cs="仿宋"/>
                <w:kern w:val="0"/>
                <w:sz w:val="28"/>
                <w:szCs w:val="28"/>
              </w:rPr>
            </w:pPr>
            <w:r>
              <w:rPr>
                <w:rFonts w:hint="eastAsia" w:ascii="仿宋" w:hAnsi="仿宋" w:eastAsia="仿宋" w:cs="仿宋"/>
                <w:kern w:val="0"/>
                <w:sz w:val="28"/>
                <w:szCs w:val="28"/>
              </w:rPr>
              <w:t>达标</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B3.3资金拨付及时性</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不及时</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B3.4 公示情况</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达标</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3885" w:type="dxa"/>
          </w:tcPr>
          <w:p>
            <w:pPr>
              <w:spacing w:line="34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B3.5 监督检查</w:t>
            </w:r>
          </w:p>
        </w:tc>
        <w:tc>
          <w:tcPr>
            <w:tcW w:w="793"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c>
          <w:tcPr>
            <w:tcW w:w="2769" w:type="dxa"/>
          </w:tcPr>
          <w:p>
            <w:pPr>
              <w:spacing w:line="340" w:lineRule="exact"/>
              <w:ind w:firstLine="360"/>
              <w:rPr>
                <w:rFonts w:ascii="仿宋" w:hAnsi="仿宋" w:eastAsia="仿宋" w:cs="仿宋"/>
                <w:kern w:val="0"/>
                <w:sz w:val="28"/>
                <w:szCs w:val="28"/>
              </w:rPr>
            </w:pPr>
            <w:r>
              <w:rPr>
                <w:rFonts w:hint="eastAsia" w:ascii="仿宋" w:hAnsi="仿宋" w:eastAsia="仿宋" w:cs="仿宋"/>
                <w:kern w:val="0"/>
                <w:sz w:val="28"/>
                <w:szCs w:val="28"/>
              </w:rPr>
              <w:t>达标</w:t>
            </w:r>
          </w:p>
        </w:tc>
        <w:tc>
          <w:tcPr>
            <w:tcW w:w="1091"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885" w:type="dxa"/>
          </w:tcPr>
          <w:p>
            <w:pPr>
              <w:spacing w:line="34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小计</w:t>
            </w:r>
          </w:p>
        </w:tc>
        <w:tc>
          <w:tcPr>
            <w:tcW w:w="793" w:type="dxa"/>
          </w:tcPr>
          <w:p>
            <w:pPr>
              <w:spacing w:line="340" w:lineRule="exact"/>
              <w:jc w:val="right"/>
              <w:rPr>
                <w:rFonts w:ascii="仿宋" w:hAnsi="仿宋" w:eastAsia="仿宋" w:cs="仿宋"/>
                <w:kern w:val="0"/>
                <w:sz w:val="28"/>
                <w:szCs w:val="28"/>
              </w:rPr>
            </w:pPr>
            <w:r>
              <w:rPr>
                <w:rFonts w:hint="eastAsia" w:ascii="仿宋" w:hAnsi="仿宋" w:eastAsia="仿宋" w:cs="仿宋"/>
                <w:kern w:val="0"/>
                <w:sz w:val="28"/>
                <w:szCs w:val="28"/>
              </w:rPr>
              <w:t>25</w:t>
            </w:r>
          </w:p>
        </w:tc>
        <w:tc>
          <w:tcPr>
            <w:tcW w:w="2769" w:type="dxa"/>
          </w:tcPr>
          <w:p>
            <w:pPr>
              <w:spacing w:line="340" w:lineRule="exact"/>
              <w:ind w:firstLine="360"/>
              <w:jc w:val="center"/>
              <w:rPr>
                <w:rFonts w:ascii="仿宋" w:hAnsi="仿宋" w:eastAsia="仿宋" w:cs="仿宋"/>
                <w:kern w:val="0"/>
                <w:sz w:val="28"/>
                <w:szCs w:val="28"/>
              </w:rPr>
            </w:pPr>
          </w:p>
        </w:tc>
        <w:tc>
          <w:tcPr>
            <w:tcW w:w="1091" w:type="dxa"/>
          </w:tcPr>
          <w:p>
            <w:pPr>
              <w:spacing w:line="340" w:lineRule="exact"/>
              <w:jc w:val="right"/>
              <w:rPr>
                <w:rFonts w:ascii="仿宋" w:hAnsi="仿宋" w:eastAsia="仿宋" w:cs="仿宋"/>
                <w:kern w:val="0"/>
                <w:sz w:val="28"/>
                <w:szCs w:val="28"/>
              </w:rPr>
            </w:pPr>
            <w:r>
              <w:rPr>
                <w:rFonts w:hint="eastAsia" w:ascii="仿宋" w:hAnsi="仿宋" w:eastAsia="仿宋" w:cs="仿宋"/>
                <w:kern w:val="0"/>
                <w:sz w:val="28"/>
                <w:szCs w:val="28"/>
              </w:rPr>
              <w:t>20</w:t>
            </w:r>
          </w:p>
        </w:tc>
      </w:tr>
    </w:tbl>
    <w:p>
      <w:pPr>
        <w:spacing w:line="560" w:lineRule="exact"/>
        <w:ind w:firstLine="560"/>
        <w:rPr>
          <w:rFonts w:ascii="仿宋" w:hAnsi="仿宋" w:eastAsia="仿宋" w:cs="仿宋"/>
          <w:sz w:val="32"/>
          <w:szCs w:val="32"/>
        </w:rPr>
      </w:pPr>
    </w:p>
    <w:p>
      <w:pPr>
        <w:ind w:firstLine="320" w:firstLineChars="100"/>
        <w:rPr>
          <w:rFonts w:ascii="仿宋" w:hAnsi="仿宋" w:eastAsia="仿宋" w:cs="仿宋"/>
          <w:sz w:val="32"/>
          <w:szCs w:val="32"/>
        </w:rPr>
      </w:pPr>
      <w:r>
        <w:rPr>
          <w:rFonts w:hint="eastAsia" w:ascii="仿宋" w:hAnsi="仿宋" w:eastAsia="仿宋" w:cs="仿宋"/>
          <w:sz w:val="32"/>
          <w:szCs w:val="32"/>
        </w:rPr>
        <w:t>B1  资金落实</w:t>
      </w:r>
    </w:p>
    <w:p>
      <w:pPr>
        <w:ind w:firstLine="320" w:firstLineChars="100"/>
        <w:rPr>
          <w:rFonts w:ascii="仿宋" w:hAnsi="仿宋" w:eastAsia="仿宋" w:cs="仿宋"/>
          <w:sz w:val="32"/>
          <w:szCs w:val="32"/>
        </w:rPr>
      </w:pPr>
      <w:r>
        <w:rPr>
          <w:rFonts w:hint="eastAsia" w:ascii="仿宋" w:hAnsi="仿宋" w:eastAsia="仿宋" w:cs="仿宋"/>
          <w:sz w:val="32"/>
          <w:szCs w:val="32"/>
        </w:rPr>
        <w:t>B1.1 资金到位率</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根据合同约定和项目实际进度，2022年应支付服务费用346.5万元。年内项目资金实际到位100万元。资金到位率28.86%。因此，评价认为项目资金到位率指标目标值未实现。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该项指标满分3分，根据评分标准得0分。</w:t>
      </w:r>
    </w:p>
    <w:p>
      <w:pPr>
        <w:ind w:firstLine="320" w:firstLineChars="100"/>
        <w:rPr>
          <w:rFonts w:ascii="仿宋" w:hAnsi="仿宋" w:eastAsia="仿宋"/>
          <w:sz w:val="32"/>
          <w:szCs w:val="32"/>
        </w:rPr>
      </w:pPr>
      <w:r>
        <w:rPr>
          <w:rFonts w:hint="eastAsia" w:ascii="仿宋" w:hAnsi="仿宋" w:eastAsia="仿宋"/>
          <w:sz w:val="32"/>
          <w:szCs w:val="32"/>
        </w:rPr>
        <w:t>B1.2 预算执行率</w:t>
      </w:r>
    </w:p>
    <w:p>
      <w:pPr>
        <w:ind w:firstLine="320" w:firstLineChars="100"/>
        <w:rPr>
          <w:rFonts w:ascii="仿宋" w:hAnsi="仿宋" w:eastAsia="仿宋"/>
          <w:sz w:val="32"/>
          <w:szCs w:val="32"/>
        </w:rPr>
      </w:pPr>
      <w:r>
        <w:rPr>
          <w:rFonts w:hint="eastAsia" w:ascii="仿宋" w:hAnsi="仿宋" w:eastAsia="仿宋" w:cs="仿宋"/>
          <w:sz w:val="32"/>
          <w:szCs w:val="32"/>
        </w:rPr>
        <w:t>项目年度到位资金100万元，实际执行金额为100万元。</w:t>
      </w:r>
      <w:r>
        <w:rPr>
          <w:rFonts w:ascii="仿宋" w:hAnsi="仿宋" w:eastAsia="仿宋"/>
          <w:sz w:val="32"/>
          <w:szCs w:val="32"/>
        </w:rPr>
        <w:t xml:space="preserve"> </w:t>
      </w:r>
      <w:r>
        <w:rPr>
          <w:rFonts w:hint="eastAsia" w:ascii="仿宋" w:hAnsi="仿宋" w:eastAsia="仿宋" w:cs="仿宋"/>
          <w:sz w:val="32"/>
          <w:szCs w:val="32"/>
        </w:rPr>
        <w:t>预算执行率=项目执行数/到位资金数×100%=100万元/100万元×100%=100%。因此，评价认为预算执行率指标实现目标值。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该项指标满分3分，根据评分标准得3分。</w:t>
      </w:r>
    </w:p>
    <w:p>
      <w:pPr>
        <w:ind w:firstLine="320" w:firstLineChars="100"/>
        <w:rPr>
          <w:rFonts w:ascii="仿宋" w:hAnsi="仿宋" w:eastAsia="仿宋"/>
          <w:sz w:val="32"/>
          <w:szCs w:val="32"/>
        </w:rPr>
      </w:pPr>
      <w:r>
        <w:rPr>
          <w:rFonts w:hint="eastAsia" w:ascii="仿宋" w:hAnsi="仿宋" w:eastAsia="仿宋"/>
          <w:sz w:val="32"/>
          <w:szCs w:val="32"/>
        </w:rPr>
        <w:t>B2  资金管理</w:t>
      </w:r>
    </w:p>
    <w:p>
      <w:pPr>
        <w:ind w:firstLine="320" w:firstLineChars="100"/>
        <w:rPr>
          <w:rFonts w:ascii="仿宋" w:hAnsi="仿宋" w:eastAsia="仿宋"/>
          <w:sz w:val="32"/>
          <w:szCs w:val="32"/>
        </w:rPr>
      </w:pPr>
      <w:r>
        <w:rPr>
          <w:rFonts w:hint="eastAsia" w:ascii="仿宋" w:hAnsi="仿宋" w:eastAsia="仿宋"/>
          <w:sz w:val="32"/>
          <w:szCs w:val="32"/>
        </w:rPr>
        <w:t>B2.1 资金使用</w:t>
      </w:r>
    </w:p>
    <w:p>
      <w:pPr>
        <w:ind w:firstLine="320" w:firstLineChars="100"/>
        <w:rPr>
          <w:rFonts w:ascii="仿宋" w:hAnsi="仿宋" w:eastAsia="仿宋" w:cs="仿宋"/>
          <w:sz w:val="32"/>
          <w:szCs w:val="32"/>
        </w:rPr>
      </w:pPr>
      <w:r>
        <w:rPr>
          <w:rFonts w:hint="eastAsia" w:ascii="仿宋" w:hAnsi="仿宋" w:eastAsia="仿宋" w:cs="仿宋"/>
          <w:sz w:val="32"/>
          <w:szCs w:val="32"/>
        </w:rPr>
        <w:t>资金的拨付有完整的审批程序和手续，符合合同规定的用途。因此，评价认为项目资金使用指标目标值实现。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该项指标满分6分，根据评分标准得6分。</w:t>
      </w:r>
    </w:p>
    <w:p>
      <w:pPr>
        <w:ind w:firstLine="320" w:firstLineChars="100"/>
        <w:rPr>
          <w:rFonts w:ascii="仿宋" w:hAnsi="仿宋" w:eastAsia="仿宋"/>
          <w:sz w:val="32"/>
          <w:szCs w:val="32"/>
        </w:rPr>
      </w:pPr>
      <w:r>
        <w:rPr>
          <w:rFonts w:hint="eastAsia" w:ascii="仿宋" w:hAnsi="仿宋" w:eastAsia="仿宋"/>
          <w:sz w:val="32"/>
          <w:szCs w:val="32"/>
        </w:rPr>
        <w:t>B2.2 财务管理</w:t>
      </w:r>
    </w:p>
    <w:p>
      <w:pPr>
        <w:ind w:firstLine="640" w:firstLineChars="200"/>
        <w:rPr>
          <w:rFonts w:ascii="仿宋" w:hAnsi="仿宋" w:eastAsia="仿宋" w:cs="仿宋"/>
          <w:sz w:val="32"/>
          <w:szCs w:val="32"/>
        </w:rPr>
      </w:pPr>
      <w:r>
        <w:rPr>
          <w:rFonts w:hint="eastAsia" w:ascii="仿宋" w:hAnsi="仿宋" w:eastAsia="仿宋" w:cs="仿宋"/>
          <w:sz w:val="32"/>
          <w:szCs w:val="32"/>
        </w:rPr>
        <w:t>项目核算按适用的会计制度或会计准则进行会计核算和账务处理，区自然资源分局专门</w:t>
      </w:r>
      <w:r>
        <w:rPr>
          <w:rFonts w:hint="eastAsia" w:ascii="仿宋" w:hAnsi="仿宋" w:eastAsia="仿宋"/>
          <w:sz w:val="32"/>
          <w:szCs w:val="32"/>
        </w:rPr>
        <w:t>制定了《赣州市自然资源局蓉江新区分局</w:t>
      </w:r>
      <w:r>
        <w:rPr>
          <w:rFonts w:hint="eastAsia" w:ascii="仿宋" w:hAnsi="仿宋" w:eastAsia="仿宋" w:cs="仿宋"/>
          <w:sz w:val="32"/>
          <w:szCs w:val="32"/>
        </w:rPr>
        <w:t>财务制度</w:t>
      </w:r>
      <w:r>
        <w:rPr>
          <w:rFonts w:hint="eastAsia" w:ascii="仿宋" w:hAnsi="仿宋" w:eastAsia="仿宋"/>
          <w:sz w:val="32"/>
          <w:szCs w:val="32"/>
        </w:rPr>
        <w:t>》，对资金管理、费用支出做出了相应规定。</w:t>
      </w:r>
      <w:r>
        <w:rPr>
          <w:rFonts w:hint="eastAsia" w:ascii="仿宋" w:hAnsi="仿宋" w:eastAsia="仿宋" w:cs="仿宋"/>
          <w:sz w:val="32"/>
          <w:szCs w:val="32"/>
        </w:rPr>
        <w:t>因此，评价认为项目财务管理指标实现目标值。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该项指标满分3分，根据评分标准得3分。</w:t>
      </w:r>
    </w:p>
    <w:p>
      <w:pPr>
        <w:ind w:firstLine="320" w:firstLineChars="100"/>
        <w:rPr>
          <w:rFonts w:ascii="仿宋" w:hAnsi="仿宋" w:eastAsia="仿宋"/>
          <w:sz w:val="32"/>
          <w:szCs w:val="32"/>
        </w:rPr>
      </w:pPr>
      <w:r>
        <w:rPr>
          <w:rFonts w:hint="eastAsia" w:ascii="仿宋" w:hAnsi="仿宋" w:eastAsia="仿宋"/>
          <w:sz w:val="32"/>
          <w:szCs w:val="32"/>
        </w:rPr>
        <w:t>B3  组织实施</w:t>
      </w:r>
    </w:p>
    <w:p>
      <w:pPr>
        <w:ind w:firstLine="320" w:firstLineChars="100"/>
        <w:rPr>
          <w:rFonts w:ascii="仿宋" w:hAnsi="仿宋" w:eastAsia="仿宋"/>
          <w:sz w:val="32"/>
          <w:szCs w:val="32"/>
        </w:rPr>
      </w:pPr>
      <w:r>
        <w:rPr>
          <w:rFonts w:hint="eastAsia" w:ascii="仿宋" w:hAnsi="仿宋" w:eastAsia="仿宋"/>
          <w:sz w:val="32"/>
          <w:szCs w:val="32"/>
        </w:rPr>
        <w:t>B3.1 组织机构</w:t>
      </w:r>
    </w:p>
    <w:p>
      <w:pPr>
        <w:ind w:firstLine="320" w:firstLineChars="100"/>
        <w:rPr>
          <w:rFonts w:ascii="仿宋" w:hAnsi="仿宋" w:eastAsia="仿宋"/>
          <w:sz w:val="32"/>
          <w:szCs w:val="32"/>
        </w:rPr>
      </w:pPr>
      <w:r>
        <w:rPr>
          <w:rFonts w:hint="eastAsia" w:ascii="仿宋" w:hAnsi="仿宋" w:eastAsia="仿宋" w:cs="仿宋"/>
          <w:sz w:val="32"/>
          <w:szCs w:val="32"/>
        </w:rPr>
        <w:t>区自然资源分局成立了项目专班组，明确了工作任务、人员组成、责任分工；</w:t>
      </w:r>
      <w:r>
        <w:rPr>
          <w:rFonts w:hint="eastAsia" w:ascii="仿宋" w:hAnsi="仿宋" w:eastAsia="仿宋"/>
          <w:sz w:val="32"/>
          <w:szCs w:val="32"/>
        </w:rPr>
        <w:t>赣州市国土空间调查规划研究中心成立了项目组，明确了设计人员组成、相关资质。</w:t>
      </w:r>
      <w:r>
        <w:rPr>
          <w:rFonts w:hint="eastAsia" w:ascii="仿宋" w:hAnsi="仿宋" w:eastAsia="仿宋" w:cs="仿宋"/>
          <w:sz w:val="32"/>
          <w:szCs w:val="32"/>
        </w:rPr>
        <w:t>因此，评价认为项目</w:t>
      </w:r>
      <w:r>
        <w:rPr>
          <w:rFonts w:hint="eastAsia" w:ascii="仿宋" w:hAnsi="仿宋" w:eastAsia="仿宋"/>
          <w:sz w:val="32"/>
          <w:szCs w:val="32"/>
        </w:rPr>
        <w:t>组织机构</w:t>
      </w:r>
      <w:r>
        <w:rPr>
          <w:rFonts w:hint="eastAsia" w:ascii="仿宋" w:hAnsi="仿宋" w:eastAsia="仿宋" w:cs="仿宋"/>
          <w:sz w:val="32"/>
          <w:szCs w:val="32"/>
        </w:rPr>
        <w:t>指标实现目标值。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ind w:firstLine="320" w:firstLineChars="100"/>
        <w:rPr>
          <w:rFonts w:ascii="仿宋" w:hAnsi="仿宋" w:eastAsia="仿宋"/>
          <w:sz w:val="32"/>
          <w:szCs w:val="32"/>
        </w:rPr>
      </w:pPr>
      <w:r>
        <w:rPr>
          <w:rFonts w:hint="eastAsia" w:ascii="仿宋" w:hAnsi="仿宋" w:eastAsia="仿宋"/>
          <w:sz w:val="32"/>
          <w:szCs w:val="32"/>
        </w:rPr>
        <w:t>B3.2 管理制度</w:t>
      </w:r>
    </w:p>
    <w:p>
      <w:pPr>
        <w:spacing w:line="560" w:lineRule="exact"/>
        <w:ind w:firstLine="640" w:firstLineChars="200"/>
        <w:jc w:val="left"/>
        <w:rPr>
          <w:rFonts w:ascii="仿宋" w:hAnsi="仿宋" w:eastAsia="仿宋"/>
          <w:sz w:val="32"/>
          <w:szCs w:val="32"/>
        </w:rPr>
      </w:pPr>
      <w:r>
        <w:rPr>
          <w:rFonts w:hint="eastAsia" w:ascii="仿宋" w:hAnsi="仿宋" w:eastAsia="仿宋" w:cs="仿宋"/>
          <w:sz w:val="32"/>
          <w:szCs w:val="32"/>
        </w:rPr>
        <w:t>区自然资源分局</w:t>
      </w:r>
      <w:r>
        <w:rPr>
          <w:rFonts w:hint="eastAsia" w:ascii="仿宋" w:hAnsi="仿宋" w:eastAsia="仿宋"/>
          <w:sz w:val="32"/>
          <w:szCs w:val="32"/>
        </w:rPr>
        <w:t>按照合同约定及单位管理制度对项目实施管理。</w:t>
      </w:r>
      <w:r>
        <w:rPr>
          <w:rFonts w:hint="eastAsia" w:ascii="仿宋" w:hAnsi="仿宋" w:eastAsia="仿宋" w:cs="仿宋"/>
          <w:sz w:val="32"/>
          <w:szCs w:val="32"/>
        </w:rPr>
        <w:t>因此，评价认为项目管理制度指标实现目标值。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ind w:firstLine="320" w:firstLineChars="100"/>
        <w:rPr>
          <w:rFonts w:ascii="仿宋" w:hAnsi="仿宋" w:eastAsia="仿宋"/>
          <w:sz w:val="32"/>
          <w:szCs w:val="32"/>
        </w:rPr>
      </w:pPr>
      <w:r>
        <w:rPr>
          <w:rFonts w:hint="eastAsia" w:ascii="仿宋" w:hAnsi="仿宋" w:eastAsia="仿宋"/>
          <w:sz w:val="32"/>
          <w:szCs w:val="32"/>
        </w:rPr>
        <w:t>B3.3 资金拨付及时性</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根据合同约定和项目实施进度，项目资金除未按约定足额支付外，也未按约定及时拨付，第一期费用应于2022年9月初支付，实际支付费用时间为2022年12月。因此，评价认为项目资金拨付及时性指标未实现目标值。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该项指标满分2分，根据评分标准得0分。</w:t>
      </w:r>
    </w:p>
    <w:p>
      <w:pPr>
        <w:ind w:firstLine="320" w:firstLineChars="100"/>
        <w:rPr>
          <w:rFonts w:ascii="仿宋" w:hAnsi="仿宋" w:eastAsia="仿宋"/>
          <w:sz w:val="32"/>
          <w:szCs w:val="32"/>
        </w:rPr>
      </w:pPr>
      <w:r>
        <w:rPr>
          <w:rFonts w:hint="eastAsia" w:ascii="仿宋" w:hAnsi="仿宋" w:eastAsia="仿宋"/>
          <w:sz w:val="32"/>
          <w:szCs w:val="32"/>
        </w:rPr>
        <w:t>B3.4 公示情况</w:t>
      </w:r>
    </w:p>
    <w:p>
      <w:pPr>
        <w:ind w:firstLine="640" w:firstLineChars="200"/>
        <w:rPr>
          <w:rFonts w:ascii="仿宋" w:hAnsi="仿宋" w:eastAsia="仿宋" w:cs="仿宋"/>
          <w:sz w:val="32"/>
          <w:szCs w:val="32"/>
        </w:rPr>
      </w:pPr>
      <w:r>
        <w:rPr>
          <w:rFonts w:hint="eastAsia" w:ascii="仿宋" w:hAnsi="仿宋" w:eastAsia="仿宋" w:cs="仿宋"/>
          <w:sz w:val="32"/>
          <w:szCs w:val="32"/>
        </w:rPr>
        <w:t>我们查看了项目公开招投标的相关公示资料，未见不合规情况。因此，评价认为项目公示情况指标实现目标值。</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ind w:firstLine="320" w:firstLineChars="100"/>
        <w:rPr>
          <w:rFonts w:ascii="仿宋" w:hAnsi="仿宋" w:eastAsia="仿宋"/>
          <w:sz w:val="32"/>
          <w:szCs w:val="32"/>
        </w:rPr>
      </w:pPr>
      <w:r>
        <w:rPr>
          <w:rFonts w:hint="eastAsia" w:ascii="仿宋" w:hAnsi="仿宋" w:eastAsia="仿宋"/>
          <w:sz w:val="32"/>
          <w:szCs w:val="32"/>
        </w:rPr>
        <w:t>B3.5 监督检查</w:t>
      </w:r>
    </w:p>
    <w:p>
      <w:pPr>
        <w:ind w:firstLine="320" w:firstLineChars="100"/>
        <w:rPr>
          <w:rFonts w:ascii="仿宋" w:hAnsi="仿宋" w:eastAsia="仿宋" w:cs="仿宋"/>
          <w:sz w:val="32"/>
          <w:szCs w:val="32"/>
        </w:rPr>
      </w:pPr>
      <w:r>
        <w:rPr>
          <w:rFonts w:hint="eastAsia" w:ascii="仿宋" w:hAnsi="仿宋" w:eastAsia="仿宋" w:cs="仿宋"/>
          <w:sz w:val="32"/>
          <w:szCs w:val="32"/>
        </w:rPr>
        <w:t>区自然资源分局于2022年12月17日组织召开了专家评审会，对项目提交成果依法依规进行了检查验收。因此，评价认为项目监督检查指标目标值实现。</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该项指标满分2分，根据评分标准得2分。</w:t>
      </w:r>
    </w:p>
    <w:p>
      <w:pPr>
        <w:spacing w:line="560" w:lineRule="exact"/>
        <w:jc w:val="left"/>
        <w:outlineLvl w:val="1"/>
        <w:rPr>
          <w:rFonts w:ascii="仿宋" w:hAnsi="仿宋" w:eastAsia="仿宋" w:cs="仿宋"/>
          <w:b/>
          <w:sz w:val="32"/>
          <w:szCs w:val="32"/>
        </w:rPr>
      </w:pPr>
      <w:bookmarkStart w:id="10" w:name="_Toc16715"/>
      <w:r>
        <w:rPr>
          <w:rFonts w:hint="eastAsia" w:ascii="仿宋" w:hAnsi="仿宋" w:eastAsia="仿宋" w:cs="仿宋"/>
          <w:b/>
          <w:sz w:val="32"/>
          <w:szCs w:val="32"/>
        </w:rPr>
        <w:t>3.3项目产出性指标类</w:t>
      </w:r>
      <w:bookmarkEnd w:id="10"/>
    </w:p>
    <w:p>
      <w:pPr>
        <w:spacing w:line="560" w:lineRule="exact"/>
        <w:ind w:firstLine="560"/>
        <w:jc w:val="left"/>
        <w:rPr>
          <w:rFonts w:ascii="仿宋" w:hAnsi="仿宋" w:eastAsia="仿宋" w:cs="仿宋"/>
          <w:sz w:val="32"/>
          <w:szCs w:val="32"/>
        </w:rPr>
      </w:pPr>
      <w:r>
        <w:rPr>
          <w:rFonts w:hint="eastAsia" w:ascii="仿宋" w:hAnsi="仿宋" w:eastAsia="仿宋" w:cs="仿宋"/>
          <w:sz w:val="32"/>
          <w:szCs w:val="32"/>
        </w:rPr>
        <w:t>产出性指标类由4个二级指标和4个三级指标构成，权重分为</w:t>
      </w:r>
      <w:r>
        <w:rPr>
          <w:rFonts w:hint="eastAsia" w:ascii="仿宋" w:hAnsi="仿宋" w:eastAsia="仿宋" w:cs="仿宋"/>
          <w:color w:val="000000" w:themeColor="text1"/>
          <w:sz w:val="32"/>
          <w:szCs w:val="32"/>
        </w:rPr>
        <w:t>32</w:t>
      </w:r>
      <w:r>
        <w:rPr>
          <w:rFonts w:hint="eastAsia" w:ascii="仿宋" w:hAnsi="仿宋" w:eastAsia="仿宋" w:cs="仿宋"/>
          <w:sz w:val="32"/>
          <w:szCs w:val="32"/>
        </w:rPr>
        <w:t>分，实际得分32分，得分率100%。</w:t>
      </w:r>
    </w:p>
    <w:p>
      <w:pPr>
        <w:spacing w:line="56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C.产出性指标</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主要考察项目实施后从数量、质量、时效和成本四个维度的达标情况，实现项目既定目标的程度。</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各指标业绩值和实际得分详见表3-5</w:t>
      </w: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表3-5 产出性指标评分表</w:t>
      </w:r>
    </w:p>
    <w:tbl>
      <w:tblPr>
        <w:tblStyle w:val="10"/>
        <w:tblW w:w="8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4"/>
        <w:gridCol w:w="1037"/>
        <w:gridCol w:w="2102"/>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4174" w:type="dxa"/>
            <w:vAlign w:val="center"/>
          </w:tcPr>
          <w:p>
            <w:pPr>
              <w:spacing w:line="3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指标名称</w:t>
            </w:r>
          </w:p>
        </w:tc>
        <w:tc>
          <w:tcPr>
            <w:tcW w:w="1037" w:type="dxa"/>
            <w:vAlign w:val="center"/>
          </w:tcPr>
          <w:p>
            <w:pPr>
              <w:spacing w:line="300" w:lineRule="exact"/>
              <w:jc w:val="center"/>
              <w:rPr>
                <w:rFonts w:ascii="仿宋" w:hAnsi="仿宋" w:eastAsia="仿宋" w:cs="仿宋"/>
                <w:kern w:val="0"/>
                <w:sz w:val="28"/>
                <w:szCs w:val="28"/>
              </w:rPr>
            </w:pPr>
            <w:r>
              <w:rPr>
                <w:rFonts w:hint="eastAsia" w:ascii="仿宋" w:hAnsi="仿宋" w:eastAsia="仿宋" w:cs="仿宋"/>
                <w:kern w:val="0"/>
                <w:sz w:val="28"/>
                <w:szCs w:val="28"/>
              </w:rPr>
              <w:t>指标</w:t>
            </w:r>
          </w:p>
          <w:p>
            <w:pPr>
              <w:spacing w:line="300" w:lineRule="exact"/>
              <w:jc w:val="center"/>
              <w:rPr>
                <w:rFonts w:ascii="仿宋" w:hAnsi="仿宋" w:eastAsia="仿宋" w:cs="仿宋"/>
                <w:kern w:val="0"/>
                <w:sz w:val="28"/>
                <w:szCs w:val="28"/>
              </w:rPr>
            </w:pPr>
            <w:r>
              <w:rPr>
                <w:rFonts w:hint="eastAsia" w:ascii="仿宋" w:hAnsi="仿宋" w:eastAsia="仿宋" w:cs="仿宋"/>
                <w:kern w:val="0"/>
                <w:sz w:val="28"/>
                <w:szCs w:val="28"/>
              </w:rPr>
              <w:t>权重</w:t>
            </w:r>
          </w:p>
        </w:tc>
        <w:tc>
          <w:tcPr>
            <w:tcW w:w="2102" w:type="dxa"/>
            <w:vAlign w:val="center"/>
          </w:tcPr>
          <w:p>
            <w:pPr>
              <w:spacing w:line="3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业绩值</w:t>
            </w:r>
          </w:p>
        </w:tc>
        <w:tc>
          <w:tcPr>
            <w:tcW w:w="1225" w:type="dxa"/>
            <w:vAlign w:val="center"/>
          </w:tcPr>
          <w:p>
            <w:pPr>
              <w:spacing w:line="300" w:lineRule="exact"/>
              <w:jc w:val="center"/>
              <w:rPr>
                <w:rFonts w:ascii="仿宋" w:hAnsi="仿宋" w:eastAsia="仿宋" w:cs="仿宋"/>
                <w:kern w:val="0"/>
                <w:sz w:val="28"/>
                <w:szCs w:val="28"/>
              </w:rPr>
            </w:pPr>
            <w:r>
              <w:rPr>
                <w:rFonts w:hint="eastAsia" w:ascii="仿宋" w:hAnsi="仿宋" w:eastAsia="仿宋" w:cs="仿宋"/>
                <w:kern w:val="0"/>
                <w:sz w:val="28"/>
                <w:szCs w:val="28"/>
              </w:rPr>
              <w:t>实际</w:t>
            </w:r>
          </w:p>
          <w:p>
            <w:pPr>
              <w:spacing w:line="300" w:lineRule="exact"/>
              <w:jc w:val="center"/>
              <w:rPr>
                <w:rFonts w:ascii="仿宋" w:hAnsi="仿宋" w:eastAsia="仿宋" w:cs="仿宋"/>
                <w:kern w:val="0"/>
                <w:sz w:val="28"/>
                <w:szCs w:val="28"/>
              </w:rPr>
            </w:pPr>
            <w:r>
              <w:rPr>
                <w:rFonts w:hint="eastAsia" w:ascii="仿宋" w:hAnsi="仿宋" w:eastAsia="仿宋" w:cs="仿宋"/>
                <w:kern w:val="0"/>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174" w:type="dxa"/>
          </w:tcPr>
          <w:p>
            <w:pPr>
              <w:jc w:val="left"/>
              <w:rPr>
                <w:rFonts w:ascii="仿宋" w:hAnsi="仿宋" w:eastAsia="仿宋" w:cs="仿宋"/>
                <w:kern w:val="0"/>
                <w:sz w:val="28"/>
                <w:szCs w:val="28"/>
              </w:rPr>
            </w:pPr>
            <w:r>
              <w:rPr>
                <w:rFonts w:hint="eastAsia" w:ascii="仿宋" w:hAnsi="仿宋" w:eastAsia="仿宋" w:cs="仿宋"/>
                <w:kern w:val="0"/>
                <w:sz w:val="28"/>
                <w:szCs w:val="28"/>
              </w:rPr>
              <w:t>C1数量指标</w:t>
            </w:r>
          </w:p>
        </w:tc>
        <w:tc>
          <w:tcPr>
            <w:tcW w:w="1037" w:type="dxa"/>
          </w:tcPr>
          <w:p>
            <w:pPr>
              <w:ind w:firstLine="360"/>
              <w:jc w:val="center"/>
              <w:rPr>
                <w:rFonts w:ascii="仿宋" w:hAnsi="仿宋" w:eastAsia="仿宋" w:cs="仿宋"/>
                <w:kern w:val="0"/>
                <w:sz w:val="28"/>
                <w:szCs w:val="28"/>
              </w:rPr>
            </w:pPr>
          </w:p>
        </w:tc>
        <w:tc>
          <w:tcPr>
            <w:tcW w:w="2102" w:type="dxa"/>
          </w:tcPr>
          <w:p>
            <w:pPr>
              <w:ind w:firstLine="360"/>
              <w:jc w:val="center"/>
              <w:rPr>
                <w:rFonts w:ascii="仿宋" w:hAnsi="仿宋" w:eastAsia="仿宋" w:cs="仿宋"/>
                <w:kern w:val="0"/>
                <w:sz w:val="28"/>
                <w:szCs w:val="28"/>
              </w:rPr>
            </w:pPr>
          </w:p>
        </w:tc>
        <w:tc>
          <w:tcPr>
            <w:tcW w:w="1225" w:type="dxa"/>
          </w:tcPr>
          <w:p>
            <w:pPr>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174" w:type="dxa"/>
          </w:tcPr>
          <w:p>
            <w:pPr>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C1.1修编范围</w:t>
            </w:r>
          </w:p>
        </w:tc>
        <w:tc>
          <w:tcPr>
            <w:tcW w:w="1037"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c>
          <w:tcPr>
            <w:tcW w:w="2102" w:type="dxa"/>
          </w:tcPr>
          <w:p>
            <w:pPr>
              <w:rPr>
                <w:rFonts w:ascii="仿宋" w:hAnsi="仿宋" w:eastAsia="仿宋" w:cs="仿宋"/>
                <w:kern w:val="0"/>
                <w:sz w:val="28"/>
                <w:szCs w:val="28"/>
              </w:rPr>
            </w:pPr>
            <w:r>
              <w:rPr>
                <w:rFonts w:hint="eastAsia" w:ascii="仿宋" w:hAnsi="仿宋" w:eastAsia="仿宋" w:cs="仿宋"/>
                <w:kern w:val="0"/>
                <w:sz w:val="28"/>
                <w:szCs w:val="28"/>
              </w:rPr>
              <w:t>77.03平方公里</w:t>
            </w:r>
          </w:p>
        </w:tc>
        <w:tc>
          <w:tcPr>
            <w:tcW w:w="1225"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174" w:type="dxa"/>
          </w:tcPr>
          <w:p>
            <w:pPr>
              <w:jc w:val="left"/>
              <w:rPr>
                <w:rFonts w:ascii="仿宋" w:hAnsi="仿宋" w:eastAsia="仿宋" w:cs="仿宋"/>
                <w:kern w:val="0"/>
                <w:sz w:val="28"/>
                <w:szCs w:val="28"/>
              </w:rPr>
            </w:pPr>
            <w:r>
              <w:rPr>
                <w:rFonts w:hint="eastAsia" w:ascii="仿宋" w:hAnsi="仿宋" w:eastAsia="仿宋" w:cs="仿宋"/>
                <w:kern w:val="0"/>
                <w:sz w:val="28"/>
                <w:szCs w:val="28"/>
              </w:rPr>
              <w:t>C2质量指标</w:t>
            </w:r>
          </w:p>
        </w:tc>
        <w:tc>
          <w:tcPr>
            <w:tcW w:w="1037" w:type="dxa"/>
          </w:tcPr>
          <w:p>
            <w:pPr>
              <w:ind w:firstLine="360"/>
              <w:jc w:val="center"/>
              <w:rPr>
                <w:rFonts w:ascii="仿宋" w:hAnsi="仿宋" w:eastAsia="仿宋" w:cs="仿宋"/>
                <w:kern w:val="0"/>
                <w:sz w:val="28"/>
                <w:szCs w:val="28"/>
              </w:rPr>
            </w:pPr>
          </w:p>
        </w:tc>
        <w:tc>
          <w:tcPr>
            <w:tcW w:w="2102" w:type="dxa"/>
          </w:tcPr>
          <w:p>
            <w:pPr>
              <w:ind w:firstLine="360"/>
              <w:jc w:val="center"/>
              <w:rPr>
                <w:rFonts w:ascii="仿宋" w:hAnsi="仿宋" w:eastAsia="仿宋" w:cs="仿宋"/>
                <w:kern w:val="0"/>
                <w:sz w:val="28"/>
                <w:szCs w:val="28"/>
              </w:rPr>
            </w:pPr>
          </w:p>
        </w:tc>
        <w:tc>
          <w:tcPr>
            <w:tcW w:w="1225" w:type="dxa"/>
          </w:tcPr>
          <w:p>
            <w:pPr>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174" w:type="dxa"/>
          </w:tcPr>
          <w:p>
            <w:pPr>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C2.1成果合格性</w:t>
            </w:r>
          </w:p>
        </w:tc>
        <w:tc>
          <w:tcPr>
            <w:tcW w:w="1037"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c>
          <w:tcPr>
            <w:tcW w:w="2102"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合格</w:t>
            </w:r>
          </w:p>
        </w:tc>
        <w:tc>
          <w:tcPr>
            <w:tcW w:w="1225"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174" w:type="dxa"/>
          </w:tcPr>
          <w:p>
            <w:pPr>
              <w:jc w:val="left"/>
              <w:rPr>
                <w:rFonts w:ascii="仿宋" w:hAnsi="仿宋" w:eastAsia="仿宋" w:cs="仿宋"/>
                <w:kern w:val="0"/>
                <w:sz w:val="28"/>
                <w:szCs w:val="28"/>
              </w:rPr>
            </w:pPr>
            <w:r>
              <w:rPr>
                <w:rFonts w:hint="eastAsia" w:ascii="仿宋" w:hAnsi="仿宋" w:eastAsia="仿宋" w:cs="仿宋"/>
                <w:kern w:val="0"/>
                <w:sz w:val="28"/>
                <w:szCs w:val="28"/>
              </w:rPr>
              <w:t>C3时效指标</w:t>
            </w:r>
          </w:p>
        </w:tc>
        <w:tc>
          <w:tcPr>
            <w:tcW w:w="1037" w:type="dxa"/>
          </w:tcPr>
          <w:p>
            <w:pPr>
              <w:ind w:firstLine="360"/>
              <w:jc w:val="center"/>
              <w:rPr>
                <w:rFonts w:ascii="仿宋" w:hAnsi="仿宋" w:eastAsia="仿宋" w:cs="仿宋"/>
                <w:kern w:val="0"/>
                <w:sz w:val="28"/>
                <w:szCs w:val="28"/>
              </w:rPr>
            </w:pPr>
          </w:p>
        </w:tc>
        <w:tc>
          <w:tcPr>
            <w:tcW w:w="2102" w:type="dxa"/>
          </w:tcPr>
          <w:p>
            <w:pPr>
              <w:ind w:firstLine="360"/>
              <w:jc w:val="center"/>
              <w:rPr>
                <w:rFonts w:ascii="仿宋" w:hAnsi="仿宋" w:eastAsia="仿宋" w:cs="仿宋"/>
                <w:kern w:val="0"/>
                <w:sz w:val="28"/>
                <w:szCs w:val="28"/>
              </w:rPr>
            </w:pPr>
          </w:p>
        </w:tc>
        <w:tc>
          <w:tcPr>
            <w:tcW w:w="1225" w:type="dxa"/>
          </w:tcPr>
          <w:p>
            <w:pPr>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174" w:type="dxa"/>
          </w:tcPr>
          <w:p>
            <w:pPr>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C3.1实施及时性</w:t>
            </w:r>
          </w:p>
        </w:tc>
        <w:tc>
          <w:tcPr>
            <w:tcW w:w="1037"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c>
          <w:tcPr>
            <w:tcW w:w="2102"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及时</w:t>
            </w:r>
          </w:p>
        </w:tc>
        <w:tc>
          <w:tcPr>
            <w:tcW w:w="1225"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174" w:type="dxa"/>
          </w:tcPr>
          <w:p>
            <w:pPr>
              <w:jc w:val="left"/>
              <w:rPr>
                <w:rFonts w:ascii="仿宋" w:hAnsi="仿宋" w:eastAsia="仿宋" w:cs="仿宋"/>
                <w:kern w:val="0"/>
                <w:sz w:val="28"/>
                <w:szCs w:val="28"/>
              </w:rPr>
            </w:pPr>
            <w:r>
              <w:rPr>
                <w:rFonts w:hint="eastAsia" w:ascii="仿宋" w:hAnsi="仿宋" w:eastAsia="仿宋" w:cs="仿宋"/>
                <w:kern w:val="0"/>
                <w:sz w:val="28"/>
                <w:szCs w:val="28"/>
              </w:rPr>
              <w:t>C4成本指标</w:t>
            </w:r>
          </w:p>
        </w:tc>
        <w:tc>
          <w:tcPr>
            <w:tcW w:w="1037" w:type="dxa"/>
          </w:tcPr>
          <w:p>
            <w:pPr>
              <w:ind w:firstLine="360"/>
              <w:jc w:val="center"/>
              <w:rPr>
                <w:rFonts w:ascii="仿宋" w:hAnsi="仿宋" w:eastAsia="仿宋" w:cs="仿宋"/>
                <w:kern w:val="0"/>
                <w:sz w:val="28"/>
                <w:szCs w:val="28"/>
              </w:rPr>
            </w:pPr>
          </w:p>
        </w:tc>
        <w:tc>
          <w:tcPr>
            <w:tcW w:w="2102" w:type="dxa"/>
          </w:tcPr>
          <w:p>
            <w:pPr>
              <w:ind w:firstLine="360"/>
              <w:jc w:val="center"/>
              <w:rPr>
                <w:rFonts w:ascii="仿宋" w:hAnsi="仿宋" w:eastAsia="仿宋" w:cs="仿宋"/>
                <w:kern w:val="0"/>
                <w:sz w:val="28"/>
                <w:szCs w:val="28"/>
              </w:rPr>
            </w:pPr>
          </w:p>
        </w:tc>
        <w:tc>
          <w:tcPr>
            <w:tcW w:w="1225" w:type="dxa"/>
          </w:tcPr>
          <w:p>
            <w:pPr>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4174" w:type="dxa"/>
          </w:tcPr>
          <w:p>
            <w:pPr>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C4.1成本控制率</w:t>
            </w:r>
          </w:p>
        </w:tc>
        <w:tc>
          <w:tcPr>
            <w:tcW w:w="1037"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c>
          <w:tcPr>
            <w:tcW w:w="2102"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98.72%</w:t>
            </w:r>
          </w:p>
        </w:tc>
        <w:tc>
          <w:tcPr>
            <w:tcW w:w="1225"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174"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小计</w:t>
            </w:r>
          </w:p>
        </w:tc>
        <w:tc>
          <w:tcPr>
            <w:tcW w:w="1037" w:type="dxa"/>
          </w:tcPr>
          <w:p>
            <w:pPr>
              <w:ind w:firstLine="360"/>
              <w:jc w:val="center"/>
              <w:rPr>
                <w:rFonts w:ascii="仿宋" w:hAnsi="仿宋" w:eastAsia="仿宋" w:cs="仿宋"/>
                <w:kern w:val="0"/>
                <w:sz w:val="28"/>
                <w:szCs w:val="28"/>
              </w:rPr>
            </w:pPr>
            <w:r>
              <w:rPr>
                <w:rFonts w:hint="eastAsia" w:ascii="仿宋" w:hAnsi="仿宋" w:eastAsia="仿宋" w:cs="仿宋"/>
                <w:kern w:val="0"/>
                <w:sz w:val="28"/>
                <w:szCs w:val="28"/>
              </w:rPr>
              <w:t>32</w:t>
            </w:r>
          </w:p>
        </w:tc>
        <w:tc>
          <w:tcPr>
            <w:tcW w:w="2102" w:type="dxa"/>
          </w:tcPr>
          <w:p>
            <w:pPr>
              <w:ind w:firstLine="360"/>
              <w:jc w:val="center"/>
              <w:rPr>
                <w:rFonts w:ascii="仿宋" w:hAnsi="仿宋" w:eastAsia="仿宋" w:cs="仿宋"/>
                <w:kern w:val="0"/>
                <w:sz w:val="28"/>
                <w:szCs w:val="28"/>
              </w:rPr>
            </w:pPr>
          </w:p>
        </w:tc>
        <w:tc>
          <w:tcPr>
            <w:tcW w:w="1225" w:type="dxa"/>
          </w:tcPr>
          <w:p>
            <w:pPr>
              <w:rPr>
                <w:rFonts w:ascii="仿宋" w:hAnsi="仿宋" w:eastAsia="仿宋" w:cs="仿宋"/>
                <w:kern w:val="0"/>
                <w:sz w:val="28"/>
                <w:szCs w:val="28"/>
              </w:rPr>
            </w:pPr>
            <w:r>
              <w:rPr>
                <w:rFonts w:hint="eastAsia" w:ascii="仿宋" w:hAnsi="仿宋" w:eastAsia="仿宋" w:cs="仿宋"/>
                <w:kern w:val="0"/>
                <w:sz w:val="28"/>
                <w:szCs w:val="28"/>
              </w:rPr>
              <w:t>32</w:t>
            </w:r>
          </w:p>
        </w:tc>
      </w:tr>
    </w:tbl>
    <w:p>
      <w:pPr>
        <w:rPr>
          <w:rFonts w:ascii="仿宋" w:hAnsi="仿宋" w:eastAsia="仿宋"/>
          <w:sz w:val="32"/>
          <w:szCs w:val="32"/>
        </w:rPr>
      </w:pPr>
    </w:p>
    <w:p>
      <w:pPr>
        <w:ind w:firstLine="320" w:firstLineChars="100"/>
        <w:rPr>
          <w:rFonts w:ascii="仿宋" w:hAnsi="仿宋" w:eastAsia="仿宋"/>
          <w:sz w:val="32"/>
          <w:szCs w:val="32"/>
        </w:rPr>
      </w:pPr>
      <w:r>
        <w:rPr>
          <w:rFonts w:hint="eastAsia" w:ascii="仿宋" w:hAnsi="仿宋" w:eastAsia="仿宋"/>
          <w:sz w:val="32"/>
          <w:szCs w:val="32"/>
        </w:rPr>
        <w:t>C1  数量指标</w:t>
      </w:r>
    </w:p>
    <w:p>
      <w:pPr>
        <w:ind w:firstLine="320" w:firstLineChars="100"/>
        <w:rPr>
          <w:rFonts w:ascii="仿宋" w:hAnsi="仿宋" w:eastAsia="仿宋"/>
          <w:sz w:val="32"/>
          <w:szCs w:val="32"/>
        </w:rPr>
      </w:pPr>
      <w:r>
        <w:rPr>
          <w:rFonts w:hint="eastAsia" w:ascii="仿宋" w:hAnsi="仿宋" w:eastAsia="仿宋"/>
          <w:sz w:val="32"/>
          <w:szCs w:val="32"/>
        </w:rPr>
        <w:t>C1.1修编范围</w:t>
      </w:r>
    </w:p>
    <w:p>
      <w:pPr>
        <w:ind w:firstLine="320" w:firstLineChars="100"/>
        <w:rPr>
          <w:rFonts w:ascii="仿宋" w:hAnsi="仿宋" w:eastAsia="仿宋"/>
          <w:sz w:val="32"/>
          <w:szCs w:val="32"/>
        </w:rPr>
      </w:pPr>
      <w:r>
        <w:rPr>
          <w:rFonts w:hint="eastAsia" w:ascii="仿宋" w:hAnsi="仿宋" w:eastAsia="仿宋"/>
          <w:sz w:val="32"/>
          <w:szCs w:val="32"/>
        </w:rPr>
        <w:t>项目拟对77.03平方公里的区域进行包括总体研究内容和专项统筹内容的规划修编服务，实际完成的修编范围为77.03平方公里。因此，评价认为项目数量指标实现目标值。</w:t>
      </w:r>
    </w:p>
    <w:p>
      <w:pPr>
        <w:ind w:firstLine="320" w:firstLineChars="100"/>
        <w:rPr>
          <w:rFonts w:ascii="仿宋" w:hAnsi="仿宋" w:eastAsia="仿宋"/>
          <w:sz w:val="32"/>
          <w:szCs w:val="32"/>
        </w:rPr>
      </w:pPr>
      <w:r>
        <w:rPr>
          <w:rFonts w:hint="eastAsia" w:ascii="仿宋" w:hAnsi="仿宋" w:eastAsia="仿宋" w:cs="仿宋"/>
          <w:sz w:val="32"/>
          <w:szCs w:val="32"/>
        </w:rPr>
        <w:t>该项指标满分8分，根据评分标准得8分。</w:t>
      </w:r>
    </w:p>
    <w:p>
      <w:pPr>
        <w:ind w:firstLine="320" w:firstLineChars="100"/>
        <w:rPr>
          <w:rFonts w:ascii="仿宋" w:hAnsi="仿宋" w:eastAsia="仿宋"/>
          <w:sz w:val="32"/>
          <w:szCs w:val="32"/>
        </w:rPr>
      </w:pPr>
      <w:r>
        <w:rPr>
          <w:rFonts w:hint="eastAsia" w:ascii="仿宋" w:hAnsi="仿宋" w:eastAsia="仿宋"/>
          <w:sz w:val="32"/>
          <w:szCs w:val="32"/>
        </w:rPr>
        <w:t>C.2质量指标</w:t>
      </w:r>
    </w:p>
    <w:p>
      <w:pPr>
        <w:ind w:firstLine="320" w:firstLineChars="100"/>
        <w:rPr>
          <w:rFonts w:ascii="仿宋" w:hAnsi="仿宋" w:eastAsia="仿宋"/>
          <w:sz w:val="32"/>
          <w:szCs w:val="32"/>
        </w:rPr>
      </w:pPr>
      <w:r>
        <w:rPr>
          <w:rFonts w:hint="eastAsia" w:ascii="仿宋" w:hAnsi="仿宋" w:eastAsia="仿宋"/>
          <w:sz w:val="32"/>
          <w:szCs w:val="32"/>
        </w:rPr>
        <w:t>C2.1成果合格性</w:t>
      </w:r>
    </w:p>
    <w:p>
      <w:pPr>
        <w:ind w:firstLine="320" w:firstLineChars="100"/>
        <w:rPr>
          <w:rFonts w:ascii="仿宋" w:hAnsi="仿宋" w:eastAsia="仿宋"/>
          <w:sz w:val="32"/>
          <w:szCs w:val="32"/>
        </w:rPr>
      </w:pPr>
      <w:r>
        <w:rPr>
          <w:rFonts w:hint="eastAsia" w:ascii="仿宋" w:hAnsi="仿宋" w:eastAsia="仿宋" w:cs="仿宋"/>
          <w:sz w:val="32"/>
          <w:szCs w:val="32"/>
        </w:rPr>
        <w:t>区自然资源组织的专家评审会认为：规划成果思路较清晰、技术路线较合理、规划体系较完整、成果内容较齐全，专家组原则同意通过该规划</w:t>
      </w:r>
      <w:r>
        <w:rPr>
          <w:rFonts w:hint="eastAsia" w:ascii="仿宋" w:hAnsi="仿宋" w:eastAsia="仿宋"/>
          <w:sz w:val="32"/>
          <w:szCs w:val="32"/>
        </w:rPr>
        <w:t>。因此，评价认为项目成果合格性指标实现目标值。</w:t>
      </w:r>
    </w:p>
    <w:p>
      <w:pPr>
        <w:ind w:firstLine="320" w:firstLineChars="100"/>
        <w:rPr>
          <w:rFonts w:ascii="仿宋" w:hAnsi="仿宋" w:eastAsia="仿宋" w:cs="仿宋"/>
          <w:sz w:val="32"/>
          <w:szCs w:val="32"/>
        </w:rPr>
      </w:pPr>
      <w:r>
        <w:rPr>
          <w:rFonts w:hint="eastAsia" w:ascii="仿宋" w:hAnsi="仿宋" w:eastAsia="仿宋" w:cs="仿宋"/>
          <w:sz w:val="32"/>
          <w:szCs w:val="32"/>
        </w:rPr>
        <w:t>该项指标满分8分，根据评分标准得8分。</w:t>
      </w:r>
    </w:p>
    <w:p>
      <w:pPr>
        <w:ind w:firstLine="320" w:firstLineChars="100"/>
        <w:rPr>
          <w:rFonts w:ascii="仿宋" w:hAnsi="仿宋" w:eastAsia="仿宋" w:cs="仿宋"/>
          <w:sz w:val="32"/>
          <w:szCs w:val="32"/>
        </w:rPr>
      </w:pPr>
      <w:r>
        <w:rPr>
          <w:rFonts w:hint="eastAsia" w:ascii="仿宋" w:hAnsi="仿宋" w:eastAsia="仿宋"/>
          <w:sz w:val="32"/>
          <w:szCs w:val="32"/>
        </w:rPr>
        <w:t xml:space="preserve">C3  </w:t>
      </w:r>
      <w:r>
        <w:rPr>
          <w:rFonts w:hint="eastAsia" w:ascii="仿宋" w:hAnsi="仿宋" w:eastAsia="仿宋" w:cs="仿宋"/>
          <w:sz w:val="32"/>
          <w:szCs w:val="32"/>
        </w:rPr>
        <w:t>时效指标</w:t>
      </w:r>
    </w:p>
    <w:p>
      <w:pPr>
        <w:ind w:firstLine="320" w:firstLineChars="100"/>
        <w:rPr>
          <w:rFonts w:ascii="仿宋" w:hAnsi="仿宋" w:eastAsia="仿宋"/>
          <w:sz w:val="32"/>
          <w:szCs w:val="32"/>
        </w:rPr>
      </w:pPr>
      <w:r>
        <w:rPr>
          <w:rFonts w:hint="eastAsia" w:ascii="仿宋" w:hAnsi="仿宋" w:eastAsia="仿宋"/>
          <w:sz w:val="32"/>
          <w:szCs w:val="32"/>
        </w:rPr>
        <w:t>C3.1实施及时性</w:t>
      </w:r>
    </w:p>
    <w:p>
      <w:pPr>
        <w:ind w:firstLine="320" w:firstLineChars="100"/>
        <w:rPr>
          <w:rFonts w:ascii="仿宋" w:hAnsi="仿宋" w:eastAsia="仿宋"/>
          <w:sz w:val="32"/>
          <w:szCs w:val="32"/>
        </w:rPr>
      </w:pPr>
      <w:r>
        <w:rPr>
          <w:rFonts w:hint="eastAsia" w:ascii="仿宋" w:hAnsi="仿宋" w:eastAsia="仿宋"/>
          <w:sz w:val="32"/>
          <w:szCs w:val="32"/>
        </w:rPr>
        <w:t>根据合同约定的实施时限要求，对比实际实施时间进度，项目时限符合计划，无超时情况。</w:t>
      </w:r>
      <w:r>
        <w:rPr>
          <w:rFonts w:hint="eastAsia" w:ascii="仿宋" w:hAnsi="仿宋" w:eastAsia="仿宋" w:cs="仿宋"/>
          <w:sz w:val="32"/>
          <w:szCs w:val="32"/>
        </w:rPr>
        <w:t>因此，</w:t>
      </w:r>
      <w:r>
        <w:rPr>
          <w:rFonts w:hint="eastAsia" w:ascii="仿宋" w:hAnsi="仿宋" w:eastAsia="仿宋"/>
          <w:sz w:val="32"/>
          <w:szCs w:val="32"/>
        </w:rPr>
        <w:t>评价认为项目实施及时，指标目标值实现。</w:t>
      </w:r>
    </w:p>
    <w:p>
      <w:pPr>
        <w:ind w:firstLine="320" w:firstLineChars="100"/>
        <w:rPr>
          <w:rFonts w:ascii="仿宋" w:hAnsi="仿宋" w:eastAsia="仿宋"/>
          <w:sz w:val="32"/>
          <w:szCs w:val="32"/>
        </w:rPr>
      </w:pPr>
      <w:r>
        <w:rPr>
          <w:rFonts w:hint="eastAsia" w:ascii="仿宋" w:hAnsi="仿宋" w:eastAsia="仿宋" w:cs="仿宋"/>
          <w:sz w:val="32"/>
          <w:szCs w:val="32"/>
        </w:rPr>
        <w:t>该项指标满分8分，根据评分标准得 8分。</w:t>
      </w:r>
    </w:p>
    <w:p>
      <w:pPr>
        <w:ind w:firstLine="320" w:firstLineChars="100"/>
        <w:rPr>
          <w:rFonts w:ascii="仿宋" w:hAnsi="仿宋" w:eastAsia="仿宋"/>
          <w:sz w:val="32"/>
          <w:szCs w:val="32"/>
        </w:rPr>
      </w:pPr>
      <w:r>
        <w:rPr>
          <w:rFonts w:hint="eastAsia" w:ascii="仿宋" w:hAnsi="仿宋" w:eastAsia="仿宋"/>
          <w:sz w:val="32"/>
          <w:szCs w:val="32"/>
        </w:rPr>
        <w:t>C4  成本指标</w:t>
      </w:r>
    </w:p>
    <w:p>
      <w:pPr>
        <w:ind w:firstLine="320" w:firstLineChars="100"/>
        <w:rPr>
          <w:rFonts w:ascii="仿宋" w:hAnsi="仿宋" w:eastAsia="仿宋"/>
          <w:sz w:val="32"/>
          <w:szCs w:val="32"/>
        </w:rPr>
      </w:pPr>
      <w:r>
        <w:rPr>
          <w:rFonts w:hint="eastAsia" w:ascii="仿宋" w:hAnsi="仿宋" w:eastAsia="仿宋"/>
          <w:sz w:val="32"/>
          <w:szCs w:val="32"/>
        </w:rPr>
        <w:t>C4.1成本控制率</w:t>
      </w:r>
    </w:p>
    <w:p>
      <w:pPr>
        <w:ind w:firstLine="320" w:firstLineChars="100"/>
        <w:rPr>
          <w:rFonts w:ascii="仿宋" w:hAnsi="仿宋" w:eastAsia="仿宋"/>
          <w:sz w:val="32"/>
          <w:szCs w:val="32"/>
        </w:rPr>
      </w:pPr>
      <w:r>
        <w:rPr>
          <w:rFonts w:hint="eastAsia" w:ascii="仿宋" w:hAnsi="仿宋" w:eastAsia="仿宋" w:cs="仿宋"/>
          <w:sz w:val="32"/>
          <w:szCs w:val="32"/>
        </w:rPr>
        <w:t>项目预算金额为390万元，实际成本为385万元，</w:t>
      </w:r>
      <w:r>
        <w:rPr>
          <w:rFonts w:hint="eastAsia" w:ascii="仿宋" w:hAnsi="仿宋" w:eastAsia="仿宋"/>
          <w:sz w:val="32"/>
          <w:szCs w:val="32"/>
        </w:rPr>
        <w:t>成本控制率=实际支出金额/计划支出金额</w:t>
      </w:r>
      <w:r>
        <w:rPr>
          <w:rFonts w:hint="eastAsia" w:ascii="宋体" w:hAnsi="宋体" w:eastAsia="宋体"/>
          <w:sz w:val="32"/>
          <w:szCs w:val="32"/>
        </w:rPr>
        <w:t>×</w:t>
      </w:r>
      <w:r>
        <w:rPr>
          <w:rFonts w:hint="eastAsia" w:ascii="仿宋" w:hAnsi="仿宋" w:eastAsia="仿宋"/>
          <w:sz w:val="32"/>
          <w:szCs w:val="32"/>
        </w:rPr>
        <w:t>100%=98.72%。</w:t>
      </w:r>
    </w:p>
    <w:p>
      <w:pPr>
        <w:ind w:firstLine="320" w:firstLineChars="100"/>
        <w:rPr>
          <w:rFonts w:ascii="仿宋" w:hAnsi="仿宋" w:eastAsia="仿宋"/>
          <w:sz w:val="32"/>
          <w:szCs w:val="32"/>
        </w:rPr>
      </w:pPr>
      <w:r>
        <w:rPr>
          <w:rFonts w:hint="eastAsia" w:ascii="仿宋" w:hAnsi="仿宋" w:eastAsia="仿宋" w:cs="仿宋"/>
          <w:sz w:val="32"/>
          <w:szCs w:val="32"/>
        </w:rPr>
        <w:t>因此，</w:t>
      </w:r>
      <w:r>
        <w:rPr>
          <w:rFonts w:hint="eastAsia" w:ascii="仿宋" w:hAnsi="仿宋" w:eastAsia="仿宋"/>
          <w:sz w:val="32"/>
          <w:szCs w:val="32"/>
        </w:rPr>
        <w:t>评价认为项目成本控制率指标目标值实现。</w:t>
      </w:r>
    </w:p>
    <w:p>
      <w:pPr>
        <w:ind w:firstLine="320" w:firstLineChars="100"/>
        <w:rPr>
          <w:rFonts w:ascii="仿宋" w:hAnsi="仿宋" w:eastAsia="仿宋"/>
          <w:sz w:val="32"/>
          <w:szCs w:val="32"/>
        </w:rPr>
      </w:pPr>
      <w:r>
        <w:rPr>
          <w:rFonts w:hint="eastAsia" w:ascii="仿宋" w:hAnsi="仿宋" w:eastAsia="仿宋" w:cs="仿宋"/>
          <w:sz w:val="32"/>
          <w:szCs w:val="32"/>
        </w:rPr>
        <w:t>该项指标满分8分，根据评分标准得 8分。</w:t>
      </w:r>
    </w:p>
    <w:p>
      <w:pPr>
        <w:spacing w:line="560" w:lineRule="exact"/>
        <w:jc w:val="left"/>
        <w:outlineLvl w:val="1"/>
        <w:rPr>
          <w:rFonts w:ascii="仿宋" w:hAnsi="仿宋" w:eastAsia="仿宋" w:cs="仿宋"/>
          <w:b/>
          <w:sz w:val="32"/>
          <w:szCs w:val="32"/>
        </w:rPr>
      </w:pPr>
      <w:bookmarkStart w:id="11" w:name="_Toc2397"/>
      <w:r>
        <w:rPr>
          <w:rFonts w:hint="eastAsia" w:ascii="仿宋" w:hAnsi="仿宋" w:eastAsia="仿宋" w:cs="仿宋"/>
          <w:b/>
          <w:sz w:val="32"/>
          <w:szCs w:val="32"/>
        </w:rPr>
        <w:t>3.4项目效果性指标类</w:t>
      </w:r>
      <w:bookmarkEnd w:id="11"/>
    </w:p>
    <w:p>
      <w:pPr>
        <w:spacing w:line="560" w:lineRule="exact"/>
        <w:ind w:firstLine="560"/>
        <w:jc w:val="left"/>
        <w:rPr>
          <w:rFonts w:ascii="仿宋" w:hAnsi="仿宋" w:eastAsia="仿宋" w:cs="仿宋"/>
          <w:sz w:val="32"/>
          <w:szCs w:val="32"/>
        </w:rPr>
      </w:pPr>
      <w:r>
        <w:rPr>
          <w:rFonts w:hint="eastAsia" w:ascii="仿宋" w:hAnsi="仿宋" w:eastAsia="仿宋" w:cs="仿宋"/>
          <w:sz w:val="32"/>
          <w:szCs w:val="32"/>
        </w:rPr>
        <w:t>效果性指标类由2个二级指标和4个三级指标构成，权重分为</w:t>
      </w:r>
      <w:r>
        <w:rPr>
          <w:rFonts w:hint="eastAsia" w:ascii="仿宋" w:hAnsi="仿宋" w:eastAsia="仿宋" w:cs="仿宋"/>
          <w:color w:val="000000" w:themeColor="text1"/>
          <w:sz w:val="32"/>
          <w:szCs w:val="32"/>
        </w:rPr>
        <w:t>28</w:t>
      </w:r>
      <w:r>
        <w:rPr>
          <w:rFonts w:hint="eastAsia" w:ascii="仿宋" w:hAnsi="仿宋" w:eastAsia="仿宋" w:cs="仿宋"/>
          <w:sz w:val="32"/>
          <w:szCs w:val="32"/>
        </w:rPr>
        <w:t>分，实际得分28分，得分率100%。</w:t>
      </w:r>
    </w:p>
    <w:p>
      <w:pPr>
        <w:spacing w:line="560" w:lineRule="exact"/>
        <w:ind w:firstLine="643" w:firstLineChars="200"/>
        <w:jc w:val="left"/>
        <w:rPr>
          <w:rFonts w:ascii="仿宋" w:hAnsi="仿宋" w:eastAsia="仿宋" w:cs="仿宋"/>
          <w:b/>
          <w:sz w:val="32"/>
          <w:szCs w:val="32"/>
        </w:rPr>
      </w:pPr>
      <w:r>
        <w:rPr>
          <w:rFonts w:hint="eastAsia" w:ascii="仿宋" w:hAnsi="仿宋" w:eastAsia="仿宋" w:cs="仿宋"/>
          <w:b/>
          <w:sz w:val="32"/>
          <w:szCs w:val="32"/>
        </w:rPr>
        <w:t>D.效果性指标</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主要考察项目实施产生的经济效益和社会效益，受助对象的获益程度和满意度，评价项目的可持续影响。</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各指标业绩值和实际得分详见表3-6</w:t>
      </w:r>
    </w:p>
    <w:p>
      <w:pPr>
        <w:spacing w:line="560" w:lineRule="exact"/>
        <w:jc w:val="center"/>
        <w:rPr>
          <w:rFonts w:ascii="仿宋" w:hAnsi="仿宋" w:eastAsia="仿宋" w:cs="仿宋"/>
          <w:sz w:val="32"/>
          <w:szCs w:val="32"/>
        </w:rPr>
      </w:pPr>
      <w:r>
        <w:rPr>
          <w:rFonts w:hint="eastAsia" w:ascii="仿宋" w:hAnsi="仿宋" w:eastAsia="仿宋" w:cs="仿宋"/>
          <w:b/>
          <w:bCs/>
          <w:sz w:val="32"/>
          <w:szCs w:val="32"/>
        </w:rPr>
        <w:t>表3-6 效果性指标评分表</w:t>
      </w:r>
    </w:p>
    <w:tbl>
      <w:tblPr>
        <w:tblStyle w:val="10"/>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3"/>
        <w:gridCol w:w="1174"/>
        <w:gridCol w:w="1973"/>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指标名称</w:t>
            </w:r>
          </w:p>
        </w:tc>
        <w:tc>
          <w:tcPr>
            <w:tcW w:w="1174" w:type="dxa"/>
          </w:tcPr>
          <w:p>
            <w:pPr>
              <w:spacing w:line="400" w:lineRule="exact"/>
              <w:rPr>
                <w:rFonts w:ascii="仿宋" w:hAnsi="仿宋" w:eastAsia="仿宋" w:cs="仿宋"/>
                <w:kern w:val="0"/>
                <w:sz w:val="28"/>
                <w:szCs w:val="28"/>
              </w:rPr>
            </w:pPr>
            <w:r>
              <w:rPr>
                <w:rFonts w:hint="eastAsia" w:ascii="仿宋" w:hAnsi="仿宋" w:eastAsia="仿宋" w:cs="仿宋"/>
                <w:kern w:val="0"/>
                <w:sz w:val="28"/>
                <w:szCs w:val="28"/>
              </w:rPr>
              <w:t>指标</w:t>
            </w:r>
          </w:p>
          <w:p>
            <w:pPr>
              <w:spacing w:line="400" w:lineRule="exact"/>
              <w:rPr>
                <w:rFonts w:ascii="仿宋" w:hAnsi="仿宋" w:eastAsia="仿宋" w:cs="仿宋"/>
                <w:kern w:val="0"/>
                <w:sz w:val="28"/>
                <w:szCs w:val="28"/>
              </w:rPr>
            </w:pPr>
            <w:r>
              <w:rPr>
                <w:rFonts w:hint="eastAsia" w:ascii="仿宋" w:hAnsi="仿宋" w:eastAsia="仿宋" w:cs="仿宋"/>
                <w:kern w:val="0"/>
                <w:sz w:val="28"/>
                <w:szCs w:val="28"/>
              </w:rPr>
              <w:t>权重</w:t>
            </w:r>
          </w:p>
        </w:tc>
        <w:tc>
          <w:tcPr>
            <w:tcW w:w="197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业绩值</w:t>
            </w:r>
          </w:p>
        </w:tc>
        <w:tc>
          <w:tcPr>
            <w:tcW w:w="1228" w:type="dxa"/>
          </w:tcPr>
          <w:p>
            <w:pPr>
              <w:spacing w:line="400" w:lineRule="exact"/>
              <w:rPr>
                <w:rFonts w:ascii="仿宋" w:hAnsi="仿宋" w:eastAsia="仿宋" w:cs="仿宋"/>
                <w:kern w:val="0"/>
                <w:sz w:val="28"/>
                <w:szCs w:val="28"/>
              </w:rPr>
            </w:pPr>
            <w:r>
              <w:rPr>
                <w:rFonts w:hint="eastAsia" w:ascii="仿宋" w:hAnsi="仿宋" w:eastAsia="仿宋" w:cs="仿宋"/>
                <w:kern w:val="0"/>
                <w:sz w:val="28"/>
                <w:szCs w:val="28"/>
              </w:rPr>
              <w:t>实际</w:t>
            </w:r>
          </w:p>
          <w:p>
            <w:pPr>
              <w:spacing w:line="400" w:lineRule="exact"/>
              <w:rPr>
                <w:rFonts w:ascii="仿宋" w:hAnsi="仿宋" w:eastAsia="仿宋" w:cs="仿宋"/>
                <w:kern w:val="0"/>
                <w:sz w:val="28"/>
                <w:szCs w:val="28"/>
              </w:rPr>
            </w:pPr>
            <w:r>
              <w:rPr>
                <w:rFonts w:hint="eastAsia" w:ascii="仿宋" w:hAnsi="仿宋" w:eastAsia="仿宋" w:cs="仿宋"/>
                <w:kern w:val="0"/>
                <w:sz w:val="28"/>
                <w:szCs w:val="2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183" w:type="dxa"/>
          </w:tcPr>
          <w:p>
            <w:pPr>
              <w:spacing w:line="400" w:lineRule="exact"/>
              <w:jc w:val="left"/>
              <w:rPr>
                <w:rFonts w:ascii="仿宋" w:hAnsi="仿宋" w:eastAsia="仿宋" w:cs="仿宋"/>
                <w:kern w:val="0"/>
                <w:sz w:val="28"/>
                <w:szCs w:val="28"/>
              </w:rPr>
            </w:pPr>
            <w:r>
              <w:rPr>
                <w:rFonts w:hint="eastAsia" w:ascii="仿宋" w:hAnsi="仿宋" w:eastAsia="仿宋" w:cs="仿宋"/>
                <w:kern w:val="0"/>
                <w:sz w:val="28"/>
                <w:szCs w:val="28"/>
              </w:rPr>
              <w:t>D1 项目效益</w:t>
            </w:r>
          </w:p>
        </w:tc>
        <w:tc>
          <w:tcPr>
            <w:tcW w:w="1174" w:type="dxa"/>
          </w:tcPr>
          <w:p>
            <w:pPr>
              <w:spacing w:line="400" w:lineRule="exact"/>
              <w:ind w:firstLine="360"/>
              <w:jc w:val="center"/>
              <w:rPr>
                <w:rFonts w:ascii="仿宋" w:hAnsi="仿宋" w:eastAsia="仿宋" w:cs="仿宋"/>
                <w:kern w:val="0"/>
                <w:sz w:val="28"/>
                <w:szCs w:val="28"/>
              </w:rPr>
            </w:pPr>
          </w:p>
        </w:tc>
        <w:tc>
          <w:tcPr>
            <w:tcW w:w="1973" w:type="dxa"/>
          </w:tcPr>
          <w:p>
            <w:pPr>
              <w:spacing w:line="400" w:lineRule="exact"/>
              <w:ind w:firstLine="360"/>
              <w:jc w:val="center"/>
              <w:rPr>
                <w:rFonts w:ascii="仿宋" w:hAnsi="仿宋" w:eastAsia="仿宋" w:cs="仿宋"/>
                <w:kern w:val="0"/>
                <w:sz w:val="28"/>
                <w:szCs w:val="28"/>
              </w:rPr>
            </w:pPr>
          </w:p>
        </w:tc>
        <w:tc>
          <w:tcPr>
            <w:tcW w:w="1228" w:type="dxa"/>
          </w:tcPr>
          <w:p>
            <w:pPr>
              <w:spacing w:line="400" w:lineRule="exact"/>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40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D1.1经济效益</w:t>
            </w:r>
          </w:p>
        </w:tc>
        <w:tc>
          <w:tcPr>
            <w:tcW w:w="1174"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c>
          <w:tcPr>
            <w:tcW w:w="197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是</w:t>
            </w:r>
          </w:p>
        </w:tc>
        <w:tc>
          <w:tcPr>
            <w:tcW w:w="1228"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400" w:lineRule="exact"/>
              <w:jc w:val="left"/>
              <w:rPr>
                <w:rFonts w:ascii="仿宋" w:hAnsi="仿宋" w:eastAsia="仿宋" w:cs="仿宋"/>
                <w:kern w:val="0"/>
                <w:sz w:val="28"/>
                <w:szCs w:val="28"/>
              </w:rPr>
            </w:pPr>
            <w:r>
              <w:rPr>
                <w:rFonts w:hint="eastAsia" w:ascii="仿宋" w:hAnsi="仿宋" w:eastAsia="仿宋" w:cs="仿宋"/>
                <w:kern w:val="0"/>
                <w:sz w:val="28"/>
                <w:szCs w:val="28"/>
              </w:rPr>
              <w:t xml:space="preserve"> D1.2社会效益</w:t>
            </w:r>
          </w:p>
        </w:tc>
        <w:tc>
          <w:tcPr>
            <w:tcW w:w="1174"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c>
          <w:tcPr>
            <w:tcW w:w="197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是</w:t>
            </w:r>
          </w:p>
        </w:tc>
        <w:tc>
          <w:tcPr>
            <w:tcW w:w="1228"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40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D1.3可持续影响</w:t>
            </w:r>
          </w:p>
        </w:tc>
        <w:tc>
          <w:tcPr>
            <w:tcW w:w="1174"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c>
          <w:tcPr>
            <w:tcW w:w="197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是</w:t>
            </w:r>
          </w:p>
        </w:tc>
        <w:tc>
          <w:tcPr>
            <w:tcW w:w="1228"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4183" w:type="dxa"/>
          </w:tcPr>
          <w:p>
            <w:pPr>
              <w:spacing w:line="400" w:lineRule="exact"/>
              <w:jc w:val="left"/>
              <w:rPr>
                <w:rFonts w:ascii="仿宋" w:hAnsi="仿宋" w:eastAsia="仿宋" w:cs="仿宋"/>
                <w:kern w:val="0"/>
                <w:sz w:val="28"/>
                <w:szCs w:val="28"/>
              </w:rPr>
            </w:pPr>
            <w:r>
              <w:rPr>
                <w:rFonts w:hint="eastAsia" w:ascii="仿宋" w:hAnsi="仿宋" w:eastAsia="仿宋" w:cs="仿宋"/>
                <w:kern w:val="0"/>
                <w:sz w:val="28"/>
                <w:szCs w:val="28"/>
              </w:rPr>
              <w:t>D2 满意度</w:t>
            </w:r>
          </w:p>
        </w:tc>
        <w:tc>
          <w:tcPr>
            <w:tcW w:w="1174" w:type="dxa"/>
          </w:tcPr>
          <w:p>
            <w:pPr>
              <w:spacing w:line="400" w:lineRule="exact"/>
              <w:ind w:firstLine="360"/>
              <w:jc w:val="center"/>
              <w:rPr>
                <w:rFonts w:ascii="仿宋" w:hAnsi="仿宋" w:eastAsia="仿宋" w:cs="仿宋"/>
                <w:kern w:val="0"/>
                <w:sz w:val="28"/>
                <w:szCs w:val="28"/>
              </w:rPr>
            </w:pPr>
          </w:p>
        </w:tc>
        <w:tc>
          <w:tcPr>
            <w:tcW w:w="1973" w:type="dxa"/>
          </w:tcPr>
          <w:p>
            <w:pPr>
              <w:spacing w:line="400" w:lineRule="exact"/>
              <w:ind w:firstLine="360"/>
              <w:jc w:val="center"/>
              <w:rPr>
                <w:rFonts w:ascii="仿宋" w:hAnsi="仿宋" w:eastAsia="仿宋" w:cs="仿宋"/>
                <w:kern w:val="0"/>
                <w:sz w:val="28"/>
                <w:szCs w:val="28"/>
              </w:rPr>
            </w:pPr>
          </w:p>
        </w:tc>
        <w:tc>
          <w:tcPr>
            <w:tcW w:w="1228" w:type="dxa"/>
          </w:tcPr>
          <w:p>
            <w:pPr>
              <w:spacing w:line="400" w:lineRule="exact"/>
              <w:ind w:firstLine="360"/>
              <w:jc w:val="cente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trPr>
        <w:tc>
          <w:tcPr>
            <w:tcW w:w="4183" w:type="dxa"/>
          </w:tcPr>
          <w:p>
            <w:pPr>
              <w:spacing w:line="400" w:lineRule="exact"/>
              <w:ind w:firstLine="140" w:firstLineChars="50"/>
              <w:jc w:val="left"/>
              <w:rPr>
                <w:rFonts w:ascii="仿宋" w:hAnsi="仿宋" w:eastAsia="仿宋" w:cs="仿宋"/>
                <w:kern w:val="0"/>
                <w:sz w:val="28"/>
                <w:szCs w:val="28"/>
              </w:rPr>
            </w:pPr>
            <w:r>
              <w:rPr>
                <w:rFonts w:hint="eastAsia" w:ascii="仿宋" w:hAnsi="仿宋" w:eastAsia="仿宋" w:cs="仿宋"/>
                <w:kern w:val="0"/>
                <w:sz w:val="28"/>
                <w:szCs w:val="28"/>
              </w:rPr>
              <w:t>D2.1 服务对象满意度</w:t>
            </w:r>
          </w:p>
        </w:tc>
        <w:tc>
          <w:tcPr>
            <w:tcW w:w="1174"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10</w:t>
            </w:r>
          </w:p>
        </w:tc>
        <w:tc>
          <w:tcPr>
            <w:tcW w:w="197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w:t>
            </w:r>
          </w:p>
        </w:tc>
        <w:tc>
          <w:tcPr>
            <w:tcW w:w="1228"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183"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小计</w:t>
            </w:r>
          </w:p>
        </w:tc>
        <w:tc>
          <w:tcPr>
            <w:tcW w:w="1174"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28</w:t>
            </w:r>
          </w:p>
        </w:tc>
        <w:tc>
          <w:tcPr>
            <w:tcW w:w="1973" w:type="dxa"/>
          </w:tcPr>
          <w:p>
            <w:pPr>
              <w:spacing w:line="400" w:lineRule="exact"/>
              <w:ind w:firstLine="360"/>
              <w:jc w:val="center"/>
              <w:rPr>
                <w:rFonts w:ascii="仿宋" w:hAnsi="仿宋" w:eastAsia="仿宋" w:cs="仿宋"/>
                <w:kern w:val="0"/>
                <w:sz w:val="28"/>
                <w:szCs w:val="28"/>
              </w:rPr>
            </w:pPr>
          </w:p>
        </w:tc>
        <w:tc>
          <w:tcPr>
            <w:tcW w:w="1228" w:type="dxa"/>
          </w:tcPr>
          <w:p>
            <w:pPr>
              <w:spacing w:line="400" w:lineRule="exact"/>
              <w:ind w:firstLine="360"/>
              <w:jc w:val="center"/>
              <w:rPr>
                <w:rFonts w:ascii="仿宋" w:hAnsi="仿宋" w:eastAsia="仿宋" w:cs="仿宋"/>
                <w:kern w:val="0"/>
                <w:sz w:val="28"/>
                <w:szCs w:val="28"/>
              </w:rPr>
            </w:pPr>
            <w:r>
              <w:rPr>
                <w:rFonts w:hint="eastAsia" w:ascii="仿宋" w:hAnsi="仿宋" w:eastAsia="仿宋" w:cs="仿宋"/>
                <w:kern w:val="0"/>
                <w:sz w:val="28"/>
                <w:szCs w:val="28"/>
              </w:rPr>
              <w:t>28</w:t>
            </w:r>
          </w:p>
        </w:tc>
      </w:tr>
    </w:tbl>
    <w:p>
      <w:pPr>
        <w:rPr>
          <w:rFonts w:ascii="仿宋" w:hAnsi="仿宋" w:eastAsia="仿宋"/>
          <w:sz w:val="32"/>
          <w:szCs w:val="32"/>
        </w:rPr>
      </w:pPr>
    </w:p>
    <w:p>
      <w:pPr>
        <w:ind w:firstLine="320" w:firstLineChars="100"/>
        <w:rPr>
          <w:rFonts w:ascii="仿宋" w:hAnsi="仿宋" w:eastAsia="仿宋"/>
          <w:sz w:val="32"/>
          <w:szCs w:val="32"/>
        </w:rPr>
      </w:pPr>
      <w:r>
        <w:rPr>
          <w:rFonts w:hint="eastAsia" w:ascii="仿宋" w:hAnsi="仿宋" w:eastAsia="仿宋"/>
          <w:sz w:val="32"/>
          <w:szCs w:val="32"/>
        </w:rPr>
        <w:t>D1  项目效益</w:t>
      </w:r>
    </w:p>
    <w:p>
      <w:pPr>
        <w:ind w:firstLine="320" w:firstLineChars="100"/>
        <w:rPr>
          <w:rFonts w:ascii="仿宋" w:hAnsi="仿宋" w:eastAsia="仿宋"/>
          <w:sz w:val="32"/>
          <w:szCs w:val="32"/>
        </w:rPr>
      </w:pPr>
      <w:r>
        <w:rPr>
          <w:rFonts w:hint="eastAsia" w:ascii="仿宋" w:hAnsi="仿宋" w:eastAsia="仿宋"/>
          <w:sz w:val="32"/>
          <w:szCs w:val="32"/>
        </w:rPr>
        <w:t>D1.1 经济效益</w:t>
      </w:r>
    </w:p>
    <w:p>
      <w:pPr>
        <w:ind w:firstLine="320" w:firstLineChars="100"/>
        <w:rPr>
          <w:rFonts w:ascii="仿宋" w:hAnsi="仿宋" w:eastAsia="仿宋" w:cs="仿宋"/>
          <w:sz w:val="32"/>
          <w:szCs w:val="32"/>
        </w:rPr>
      </w:pPr>
      <w:r>
        <w:rPr>
          <w:rFonts w:hint="eastAsia" w:ascii="仿宋_GB2312" w:hAnsi="仿宋_GB2312" w:eastAsia="仿宋_GB2312" w:cs="仿宋_GB2312"/>
          <w:sz w:val="32"/>
          <w:szCs w:val="32"/>
        </w:rPr>
        <w:t>项目实施完成后，可实现更加科学合理的城乡规划，对区域未来经济发展具有很好的促进作用；项目实施节约了一定的成本费用，在未来科学规划的指导下，避免重复建设、不合理布局等现象发生，有利于经济效益的取得</w:t>
      </w:r>
      <w:r>
        <w:rPr>
          <w:rFonts w:hint="eastAsia" w:ascii="仿宋" w:hAnsi="仿宋" w:eastAsia="仿宋" w:cs="仿宋"/>
          <w:sz w:val="32"/>
          <w:szCs w:val="32"/>
        </w:rPr>
        <w:t>。由于项目尚未实施完成，经济效益有待进一步评定。</w:t>
      </w:r>
    </w:p>
    <w:p>
      <w:pPr>
        <w:ind w:firstLine="320" w:firstLineChars="100"/>
        <w:rPr>
          <w:rFonts w:ascii="仿宋" w:hAnsi="仿宋" w:eastAsia="仿宋"/>
          <w:sz w:val="32"/>
          <w:szCs w:val="32"/>
        </w:rPr>
      </w:pPr>
      <w:r>
        <w:rPr>
          <w:rFonts w:hint="eastAsia" w:ascii="仿宋" w:hAnsi="仿宋" w:eastAsia="仿宋" w:cs="仿宋"/>
          <w:sz w:val="32"/>
          <w:szCs w:val="32"/>
        </w:rPr>
        <w:t>该项指标满分6分，根据评分标准得 6分。</w:t>
      </w:r>
    </w:p>
    <w:p>
      <w:pPr>
        <w:ind w:firstLine="320" w:firstLineChars="100"/>
        <w:rPr>
          <w:rFonts w:ascii="仿宋" w:hAnsi="仿宋" w:eastAsia="仿宋"/>
          <w:sz w:val="32"/>
          <w:szCs w:val="32"/>
        </w:rPr>
      </w:pPr>
      <w:r>
        <w:rPr>
          <w:rFonts w:hint="eastAsia" w:ascii="仿宋" w:hAnsi="仿宋" w:eastAsia="仿宋"/>
          <w:sz w:val="32"/>
          <w:szCs w:val="32"/>
        </w:rPr>
        <w:t>D1.2 社会效益</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蓉江新区是赣州建设省域副中心城市的主战场，坚持高起点规划、高标准建设，打造现代城市建设标杆，能进一步扩大赣州的影响力，同时也能带动整个区域城乡规划管理的提升。由于项目尚未实施完成，社会效益有待进一步评定。</w:t>
      </w:r>
    </w:p>
    <w:p>
      <w:pPr>
        <w:ind w:firstLine="320" w:firstLineChars="100"/>
        <w:rPr>
          <w:rFonts w:ascii="仿宋" w:hAnsi="仿宋" w:eastAsia="仿宋"/>
          <w:sz w:val="32"/>
          <w:szCs w:val="32"/>
        </w:rPr>
      </w:pPr>
      <w:r>
        <w:rPr>
          <w:rFonts w:hint="eastAsia" w:ascii="仿宋" w:hAnsi="仿宋" w:eastAsia="仿宋" w:cs="仿宋"/>
          <w:sz w:val="32"/>
          <w:szCs w:val="32"/>
        </w:rPr>
        <w:t>该项指标满分6分，根据评分标准得6分。</w:t>
      </w:r>
    </w:p>
    <w:p>
      <w:pPr>
        <w:ind w:firstLine="320" w:firstLineChars="100"/>
        <w:rPr>
          <w:rFonts w:ascii="仿宋" w:hAnsi="仿宋" w:eastAsia="仿宋"/>
          <w:sz w:val="32"/>
          <w:szCs w:val="32"/>
        </w:rPr>
      </w:pPr>
      <w:r>
        <w:rPr>
          <w:rFonts w:hint="eastAsia" w:ascii="仿宋" w:hAnsi="仿宋" w:eastAsia="仿宋"/>
          <w:sz w:val="32"/>
          <w:szCs w:val="32"/>
        </w:rPr>
        <w:t>D1.3 可持续影响</w:t>
      </w:r>
    </w:p>
    <w:p>
      <w:pPr>
        <w:ind w:firstLine="320" w:firstLineChars="100"/>
        <w:rPr>
          <w:rFonts w:ascii="仿宋" w:hAnsi="仿宋" w:eastAsia="仿宋" w:cs="仿宋"/>
          <w:sz w:val="32"/>
          <w:szCs w:val="32"/>
        </w:rPr>
      </w:pPr>
      <w:r>
        <w:rPr>
          <w:rFonts w:hint="eastAsia" w:ascii="仿宋" w:hAnsi="仿宋" w:eastAsia="仿宋" w:cs="仿宋"/>
          <w:sz w:val="32"/>
          <w:szCs w:val="32"/>
        </w:rPr>
        <w:t>项目实施符合赣州的城市发展规划，对于促进市中心城区高质量发展具有重要意义，其影响是持续和深远的，为赣州未来发展将奠定良好的基础。因此，评价认为项目可持续影响指标实现目标值。</w:t>
      </w:r>
    </w:p>
    <w:p>
      <w:pPr>
        <w:ind w:firstLine="320" w:firstLineChars="100"/>
        <w:rPr>
          <w:rFonts w:ascii="仿宋" w:hAnsi="仿宋" w:eastAsia="仿宋"/>
          <w:sz w:val="32"/>
          <w:szCs w:val="32"/>
        </w:rPr>
      </w:pPr>
      <w:r>
        <w:rPr>
          <w:rFonts w:hint="eastAsia" w:ascii="仿宋" w:hAnsi="仿宋" w:eastAsia="仿宋" w:cs="仿宋"/>
          <w:sz w:val="32"/>
          <w:szCs w:val="32"/>
        </w:rPr>
        <w:t>该项指标满分6分，根据评分标准得6分。</w:t>
      </w:r>
    </w:p>
    <w:p>
      <w:pPr>
        <w:ind w:firstLine="320" w:firstLineChars="100"/>
        <w:rPr>
          <w:rFonts w:ascii="仿宋" w:hAnsi="仿宋" w:eastAsia="仿宋"/>
          <w:sz w:val="32"/>
          <w:szCs w:val="32"/>
        </w:rPr>
      </w:pPr>
      <w:r>
        <w:rPr>
          <w:rFonts w:hint="eastAsia" w:ascii="仿宋" w:hAnsi="仿宋" w:eastAsia="仿宋"/>
          <w:sz w:val="32"/>
          <w:szCs w:val="32"/>
        </w:rPr>
        <w:t>D2满意度</w:t>
      </w:r>
    </w:p>
    <w:p>
      <w:pPr>
        <w:ind w:firstLine="320" w:firstLineChars="100"/>
        <w:rPr>
          <w:rFonts w:ascii="仿宋" w:hAnsi="仿宋" w:eastAsia="仿宋"/>
          <w:sz w:val="32"/>
          <w:szCs w:val="32"/>
        </w:rPr>
      </w:pPr>
      <w:r>
        <w:rPr>
          <w:rFonts w:hint="eastAsia" w:ascii="仿宋" w:hAnsi="仿宋" w:eastAsia="仿宋"/>
          <w:sz w:val="32"/>
          <w:szCs w:val="32"/>
        </w:rPr>
        <w:t>D2.1 服务对象满意度</w:t>
      </w:r>
    </w:p>
    <w:p>
      <w:pPr>
        <w:ind w:firstLine="320" w:firstLineChars="100"/>
        <w:rPr>
          <w:rFonts w:ascii="仿宋" w:hAnsi="仿宋" w:eastAsia="仿宋" w:cs="仿宋"/>
          <w:sz w:val="32"/>
          <w:szCs w:val="32"/>
        </w:rPr>
      </w:pPr>
      <w:r>
        <w:rPr>
          <w:rFonts w:hint="eastAsia" w:ascii="仿宋" w:hAnsi="仿宋" w:eastAsia="仿宋" w:cs="仿宋"/>
          <w:sz w:val="32"/>
          <w:szCs w:val="32"/>
        </w:rPr>
        <w:t>由于项目尚未实施完成，我们未取得受益群众满意度，根据现有实施情况及资料主观评分。</w:t>
      </w:r>
    </w:p>
    <w:p>
      <w:pPr>
        <w:ind w:firstLine="320" w:firstLineChars="100"/>
        <w:rPr>
          <w:rFonts w:ascii="仿宋" w:hAnsi="仿宋" w:eastAsia="仿宋" w:cs="仿宋"/>
          <w:sz w:val="32"/>
          <w:szCs w:val="32"/>
        </w:rPr>
      </w:pPr>
      <w:r>
        <w:rPr>
          <w:rFonts w:hint="eastAsia" w:ascii="仿宋" w:hAnsi="仿宋" w:eastAsia="仿宋" w:cs="仿宋"/>
          <w:sz w:val="32"/>
          <w:szCs w:val="32"/>
        </w:rPr>
        <w:t>该项指标满分10分，根据评分标准得 10分。</w:t>
      </w:r>
    </w:p>
    <w:p>
      <w:pPr>
        <w:spacing w:line="560" w:lineRule="exact"/>
        <w:jc w:val="left"/>
        <w:outlineLvl w:val="0"/>
        <w:rPr>
          <w:rFonts w:ascii="仿宋" w:hAnsi="仿宋" w:eastAsia="仿宋" w:cs="仿宋"/>
          <w:b/>
          <w:sz w:val="32"/>
          <w:szCs w:val="32"/>
        </w:rPr>
      </w:pPr>
      <w:bookmarkStart w:id="12" w:name="_Toc5507"/>
      <w:r>
        <w:rPr>
          <w:rFonts w:hint="eastAsia" w:ascii="仿宋" w:hAnsi="仿宋" w:eastAsia="仿宋" w:cs="仿宋"/>
          <w:b/>
          <w:sz w:val="32"/>
          <w:szCs w:val="32"/>
        </w:rPr>
        <w:t>4、 绩效评价结果</w:t>
      </w:r>
      <w:bookmarkEnd w:id="12"/>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本次评价在资料查阅、现场调研及访谈基础上，对赣州蓉江新区2022年赣州蓉江新城控制性详细规划编修工作项目绩效进行逐项打分、客观评价，等级设为四档：90（含）-100分为优、80（含）-90分为良、60（含）-80分为中等、60分以下为差。最终评分结果：总得分为 94分，绩效评级为“优”。</w:t>
      </w:r>
    </w:p>
    <w:p>
      <w:pPr>
        <w:spacing w:line="56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10"/>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7"/>
        <w:gridCol w:w="1536"/>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107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指标</w:t>
            </w:r>
          </w:p>
        </w:tc>
        <w:tc>
          <w:tcPr>
            <w:tcW w:w="153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A.决策性指标</w:t>
            </w:r>
          </w:p>
        </w:tc>
        <w:tc>
          <w:tcPr>
            <w:tcW w:w="171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B.管理性指标</w:t>
            </w:r>
          </w:p>
        </w:tc>
        <w:tc>
          <w:tcPr>
            <w:tcW w:w="159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C.产出性指标</w:t>
            </w:r>
          </w:p>
        </w:tc>
        <w:tc>
          <w:tcPr>
            <w:tcW w:w="148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D.效果性指标</w:t>
            </w:r>
          </w:p>
        </w:tc>
        <w:tc>
          <w:tcPr>
            <w:tcW w:w="12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s="仿宋"/>
                <w:kern w:val="0"/>
                <w:sz w:val="28"/>
                <w:szCs w:val="28"/>
              </w:rPr>
            </w:pPr>
            <w:r>
              <w:rPr>
                <w:rFonts w:hint="eastAsia" w:ascii="仿宋" w:hAnsi="仿宋" w:eastAsia="仿宋" w:cs="仿宋"/>
                <w:kern w:val="0"/>
                <w:sz w:val="28"/>
                <w:szCs w:val="28"/>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权重</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15</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25</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32</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28</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分值</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14</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20</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32</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28</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07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得分率</w:t>
            </w:r>
          </w:p>
        </w:tc>
        <w:tc>
          <w:tcPr>
            <w:tcW w:w="153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93.33%</w:t>
            </w:r>
          </w:p>
        </w:tc>
        <w:tc>
          <w:tcPr>
            <w:tcW w:w="171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80%</w:t>
            </w:r>
          </w:p>
        </w:tc>
        <w:tc>
          <w:tcPr>
            <w:tcW w:w="159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100%</w:t>
            </w:r>
          </w:p>
        </w:tc>
        <w:tc>
          <w:tcPr>
            <w:tcW w:w="148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100%</w:t>
            </w:r>
          </w:p>
        </w:tc>
        <w:tc>
          <w:tcPr>
            <w:tcW w:w="125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94%</w:t>
            </w:r>
          </w:p>
        </w:tc>
      </w:tr>
    </w:tbl>
    <w:p>
      <w:pPr>
        <w:spacing w:line="560" w:lineRule="exact"/>
        <w:jc w:val="left"/>
        <w:rPr>
          <w:rFonts w:ascii="仿宋" w:hAnsi="仿宋" w:eastAsia="仿宋" w:cs="仿宋"/>
          <w:b/>
          <w:sz w:val="32"/>
          <w:szCs w:val="32"/>
        </w:rPr>
      </w:pPr>
    </w:p>
    <w:p>
      <w:pPr>
        <w:spacing w:line="560" w:lineRule="exact"/>
        <w:jc w:val="left"/>
        <w:outlineLvl w:val="0"/>
        <w:rPr>
          <w:rFonts w:ascii="仿宋" w:hAnsi="仿宋" w:eastAsia="仿宋" w:cs="仿宋"/>
          <w:b/>
          <w:sz w:val="32"/>
          <w:szCs w:val="32"/>
        </w:rPr>
      </w:pPr>
      <w:bookmarkStart w:id="13" w:name="_Toc1264"/>
      <w:r>
        <w:rPr>
          <w:rFonts w:hint="eastAsia" w:ascii="仿宋" w:hAnsi="仿宋" w:eastAsia="仿宋" w:cs="仿宋"/>
          <w:b/>
          <w:sz w:val="32"/>
          <w:szCs w:val="32"/>
        </w:rPr>
        <w:t>5、存在的问题</w:t>
      </w:r>
      <w:bookmarkEnd w:id="13"/>
    </w:p>
    <w:p>
      <w:pPr>
        <w:spacing w:line="560" w:lineRule="exact"/>
        <w:ind w:firstLine="573"/>
        <w:jc w:val="left"/>
        <w:outlineLvl w:val="1"/>
        <w:rPr>
          <w:rFonts w:ascii="仿宋" w:hAnsi="仿宋" w:eastAsia="仿宋" w:cs="仿宋"/>
          <w:b/>
          <w:sz w:val="32"/>
          <w:szCs w:val="32"/>
        </w:rPr>
      </w:pPr>
      <w:bookmarkStart w:id="14" w:name="_Toc30783"/>
      <w:r>
        <w:rPr>
          <w:rFonts w:hint="eastAsia" w:ascii="仿宋" w:hAnsi="仿宋" w:eastAsia="仿宋" w:cs="仿宋"/>
          <w:b/>
          <w:sz w:val="32"/>
          <w:szCs w:val="32"/>
        </w:rPr>
        <w:t>5.1预算绩效管理工作方面存在不足。</w:t>
      </w:r>
      <w:bookmarkEnd w:id="14"/>
    </w:p>
    <w:p>
      <w:pPr>
        <w:spacing w:line="560" w:lineRule="exact"/>
        <w:ind w:firstLine="573"/>
        <w:jc w:val="left"/>
        <w:rPr>
          <w:rFonts w:ascii="仿宋" w:hAnsi="仿宋" w:eastAsia="仿宋" w:cs="仿宋"/>
          <w:sz w:val="32"/>
          <w:szCs w:val="32"/>
        </w:rPr>
      </w:pPr>
      <w:r>
        <w:rPr>
          <w:rFonts w:hint="eastAsia" w:ascii="仿宋" w:hAnsi="仿宋" w:eastAsia="仿宋" w:cs="仿宋"/>
          <w:sz w:val="32"/>
          <w:szCs w:val="32"/>
        </w:rPr>
        <w:t>绩效目标管理工作有待改善，绩效指标设计不够科学合理。项目设置的时效指标与项目实施计划不对应，从而使得项目目标值成为不可能完成的任务，也反映出对绩效目标管理工作不够严谨和重视。</w:t>
      </w:r>
    </w:p>
    <w:p>
      <w:pPr>
        <w:spacing w:line="560" w:lineRule="exact"/>
        <w:ind w:firstLine="573"/>
        <w:jc w:val="left"/>
        <w:outlineLvl w:val="1"/>
        <w:rPr>
          <w:rFonts w:ascii="仿宋" w:hAnsi="仿宋" w:eastAsia="仿宋" w:cs="仿宋"/>
          <w:b/>
          <w:sz w:val="32"/>
          <w:szCs w:val="32"/>
        </w:rPr>
      </w:pPr>
      <w:bookmarkStart w:id="15" w:name="_Toc8700"/>
      <w:r>
        <w:rPr>
          <w:rFonts w:hint="eastAsia" w:ascii="仿宋" w:hAnsi="仿宋" w:eastAsia="仿宋" w:cs="仿宋"/>
          <w:b/>
          <w:sz w:val="32"/>
          <w:szCs w:val="32"/>
        </w:rPr>
        <w:t>5.2项目实施管理方面存在不足</w:t>
      </w:r>
      <w:bookmarkEnd w:id="15"/>
    </w:p>
    <w:p>
      <w:pPr>
        <w:spacing w:line="560" w:lineRule="exact"/>
        <w:ind w:firstLine="480" w:firstLineChars="150"/>
        <w:jc w:val="left"/>
        <w:rPr>
          <w:rFonts w:ascii="仿宋" w:hAnsi="仿宋" w:eastAsia="仿宋" w:cs="仿宋"/>
          <w:sz w:val="32"/>
          <w:szCs w:val="32"/>
        </w:rPr>
      </w:pPr>
      <w:r>
        <w:rPr>
          <w:rFonts w:hint="eastAsia" w:ascii="仿宋" w:hAnsi="仿宋" w:eastAsia="仿宋" w:cs="仿宋"/>
          <w:sz w:val="32"/>
          <w:szCs w:val="32"/>
        </w:rPr>
        <w:t>项目实施过程中，区自然资源分局未严格履行合同义务，按照合同约定及时、足额地支付项目服务费用。</w:t>
      </w:r>
    </w:p>
    <w:p>
      <w:pPr>
        <w:spacing w:line="560" w:lineRule="exact"/>
        <w:jc w:val="left"/>
        <w:outlineLvl w:val="0"/>
        <w:rPr>
          <w:rFonts w:ascii="仿宋" w:hAnsi="仿宋" w:eastAsia="仿宋" w:cs="仿宋"/>
          <w:b/>
          <w:sz w:val="32"/>
          <w:szCs w:val="32"/>
        </w:rPr>
      </w:pPr>
      <w:bookmarkStart w:id="16" w:name="_Toc121"/>
      <w:r>
        <w:rPr>
          <w:rFonts w:hint="eastAsia" w:ascii="仿宋" w:hAnsi="仿宋" w:eastAsia="仿宋" w:cs="仿宋"/>
          <w:b/>
          <w:sz w:val="32"/>
          <w:szCs w:val="32"/>
        </w:rPr>
        <w:t>6、改进措施和建议</w:t>
      </w:r>
      <w:bookmarkEnd w:id="16"/>
    </w:p>
    <w:p>
      <w:pPr>
        <w:spacing w:line="560" w:lineRule="exact"/>
        <w:ind w:firstLine="570"/>
        <w:jc w:val="left"/>
        <w:outlineLvl w:val="1"/>
        <w:rPr>
          <w:rFonts w:ascii="仿宋" w:hAnsi="仿宋" w:eastAsia="仿宋" w:cs="仿宋"/>
          <w:b/>
          <w:sz w:val="32"/>
          <w:szCs w:val="32"/>
        </w:rPr>
      </w:pPr>
      <w:bookmarkStart w:id="17" w:name="_Toc24027"/>
      <w:r>
        <w:rPr>
          <w:rFonts w:hint="eastAsia" w:ascii="仿宋" w:hAnsi="仿宋" w:eastAsia="仿宋" w:cs="仿宋"/>
          <w:b/>
          <w:sz w:val="32"/>
          <w:szCs w:val="32"/>
        </w:rPr>
        <w:t>6.1加强预算绩效管理工作、提高绩效管理水平</w:t>
      </w:r>
      <w:bookmarkEnd w:id="17"/>
    </w:p>
    <w:p>
      <w:pPr>
        <w:spacing w:line="560" w:lineRule="exact"/>
        <w:ind w:firstLine="570"/>
        <w:jc w:val="left"/>
        <w:rPr>
          <w:rFonts w:ascii="仿宋" w:hAnsi="仿宋" w:eastAsia="仿宋" w:cs="仿宋"/>
          <w:sz w:val="32"/>
          <w:szCs w:val="32"/>
        </w:rPr>
      </w:pPr>
      <w:r>
        <w:rPr>
          <w:rFonts w:hint="eastAsia" w:ascii="仿宋" w:hAnsi="仿宋" w:eastAsia="仿宋" w:cs="仿宋"/>
          <w:sz w:val="32"/>
          <w:szCs w:val="32"/>
        </w:rPr>
        <w:t>严格按照《预算法》等相关文件要求，进一步强化预算绩效管理工作，切实履行预算绩效管理职责。</w:t>
      </w:r>
    </w:p>
    <w:p>
      <w:pPr>
        <w:spacing w:line="560" w:lineRule="exact"/>
        <w:ind w:firstLine="570"/>
        <w:jc w:val="left"/>
        <w:outlineLvl w:val="1"/>
        <w:rPr>
          <w:rFonts w:ascii="仿宋" w:hAnsi="仿宋" w:eastAsia="仿宋" w:cs="仿宋"/>
          <w:b/>
          <w:sz w:val="32"/>
          <w:szCs w:val="32"/>
        </w:rPr>
      </w:pPr>
      <w:bookmarkStart w:id="18" w:name="_Toc30552"/>
      <w:r>
        <w:rPr>
          <w:rFonts w:hint="eastAsia" w:ascii="仿宋" w:hAnsi="仿宋" w:eastAsia="仿宋" w:cs="仿宋"/>
          <w:b/>
          <w:sz w:val="32"/>
          <w:szCs w:val="32"/>
        </w:rPr>
        <w:t>6.2提高项目管理水平、加强履约合规性</w:t>
      </w:r>
      <w:bookmarkEnd w:id="18"/>
    </w:p>
    <w:p>
      <w:pPr>
        <w:spacing w:line="560" w:lineRule="exact"/>
        <w:ind w:firstLine="570"/>
        <w:jc w:val="left"/>
        <w:rPr>
          <w:rFonts w:ascii="仿宋" w:hAnsi="仿宋" w:eastAsia="仿宋" w:cs="仿宋"/>
          <w:sz w:val="32"/>
          <w:szCs w:val="32"/>
        </w:rPr>
      </w:pPr>
      <w:r>
        <w:rPr>
          <w:rFonts w:hint="eastAsia" w:ascii="仿宋" w:hAnsi="仿宋" w:eastAsia="仿宋" w:cs="仿宋"/>
          <w:sz w:val="32"/>
          <w:szCs w:val="32"/>
        </w:rPr>
        <w:t>增强契约意识，严格遵守合同约定，切实履行合同义务，规避合同履约不当带来的风险。</w:t>
      </w:r>
    </w:p>
    <w:p>
      <w:pPr>
        <w:spacing w:line="560" w:lineRule="exact"/>
        <w:jc w:val="left"/>
        <w:outlineLvl w:val="0"/>
        <w:rPr>
          <w:rFonts w:ascii="仿宋" w:hAnsi="仿宋" w:eastAsia="仿宋" w:cs="仿宋"/>
          <w:b/>
          <w:sz w:val="32"/>
          <w:szCs w:val="32"/>
        </w:rPr>
      </w:pPr>
      <w:bookmarkStart w:id="19" w:name="_Toc358"/>
      <w:r>
        <w:rPr>
          <w:rFonts w:hint="eastAsia" w:ascii="仿宋" w:hAnsi="仿宋" w:eastAsia="仿宋" w:cs="仿宋"/>
          <w:b/>
          <w:sz w:val="32"/>
          <w:szCs w:val="32"/>
        </w:rPr>
        <w:t>7、其他事项说明</w:t>
      </w:r>
      <w:bookmarkEnd w:id="19"/>
      <w:r>
        <w:rPr>
          <w:rFonts w:hint="eastAsia" w:ascii="仿宋" w:hAnsi="仿宋" w:eastAsia="仿宋" w:cs="仿宋"/>
          <w:b/>
          <w:sz w:val="32"/>
          <w:szCs w:val="32"/>
        </w:rPr>
        <w:t xml:space="preserve"> </w:t>
      </w:r>
    </w:p>
    <w:p>
      <w:pPr>
        <w:ind w:firstLine="640" w:firstLineChars="200"/>
        <w:rPr>
          <w:rFonts w:ascii="仿宋" w:hAnsi="仿宋" w:eastAsia="仿宋" w:cs="仿宋"/>
          <w:sz w:val="32"/>
          <w:szCs w:val="32"/>
        </w:rPr>
      </w:pPr>
      <w:r>
        <w:rPr>
          <w:rFonts w:hint="eastAsia" w:ascii="仿宋" w:hAnsi="仿宋" w:eastAsia="仿宋" w:cs="仿宋"/>
          <w:sz w:val="32"/>
          <w:szCs w:val="32"/>
        </w:rPr>
        <w:t>7.1本绩效评价报告是在项目实施单位提供资料的基础上形成的。</w:t>
      </w:r>
    </w:p>
    <w:p>
      <w:pPr>
        <w:spacing w:line="560" w:lineRule="exact"/>
        <w:ind w:firstLine="560"/>
        <w:jc w:val="left"/>
        <w:rPr>
          <w:rFonts w:ascii="仿宋" w:hAnsi="仿宋" w:eastAsia="仿宋" w:cs="仿宋"/>
          <w:sz w:val="32"/>
          <w:szCs w:val="32"/>
        </w:rPr>
      </w:pPr>
      <w:r>
        <w:rPr>
          <w:rFonts w:hint="eastAsia" w:ascii="仿宋" w:hAnsi="仿宋" w:eastAsia="仿宋" w:cs="仿宋"/>
          <w:sz w:val="32"/>
          <w:szCs w:val="32"/>
        </w:rPr>
        <w:t>7.2本绩效评价报告仅供赣州蓉江新区财政局开展“赣州蓉江新区2022年赣州蓉江新城控制性详细规划编修工作项目”绩效评价相关工作使用，不作他用。</w:t>
      </w:r>
    </w:p>
    <w:p>
      <w:pPr>
        <w:spacing w:line="560" w:lineRule="exact"/>
        <w:ind w:firstLine="560"/>
        <w:jc w:val="left"/>
        <w:rPr>
          <w:rFonts w:ascii="仿宋" w:hAnsi="仿宋" w:eastAsia="仿宋" w:cs="仿宋"/>
          <w:sz w:val="32"/>
          <w:szCs w:val="32"/>
        </w:rPr>
      </w:pPr>
    </w:p>
    <w:p>
      <w:pPr>
        <w:spacing w:line="560" w:lineRule="exact"/>
        <w:ind w:firstLine="560"/>
        <w:jc w:val="left"/>
        <w:rPr>
          <w:rFonts w:ascii="仿宋" w:hAnsi="仿宋" w:eastAsia="仿宋" w:cs="仿宋"/>
          <w:sz w:val="32"/>
          <w:szCs w:val="32"/>
        </w:rPr>
      </w:pPr>
    </w:p>
    <w:p>
      <w:pPr>
        <w:ind w:firstLine="2240" w:firstLineChars="700"/>
        <w:jc w:val="right"/>
        <w:rPr>
          <w:rFonts w:ascii="仿宋_GB2312" w:hAnsi="Times New Roman" w:eastAsia="仿宋_GB2312" w:cs="Times New Roman"/>
          <w:sz w:val="32"/>
          <w:szCs w:val="32"/>
        </w:rPr>
      </w:pPr>
      <w:r>
        <w:rPr>
          <w:rFonts w:hint="eastAsia" w:ascii="仿宋_GB2312" w:hAnsi="Times New Roman" w:eastAsia="仿宋_GB2312" w:cs="Times New Roman"/>
          <w:sz w:val="32"/>
          <w:szCs w:val="32"/>
        </w:rPr>
        <w:t>国众联资产评估土地房地产估价有限公司</w:t>
      </w:r>
    </w:p>
    <w:p>
      <w:pPr>
        <w:ind w:firstLine="5440" w:firstLineChars="1700"/>
        <w:jc w:val="right"/>
        <w:rPr>
          <w:rFonts w:ascii="仿宋_GB2312" w:hAnsi="Times New Roman" w:eastAsia="仿宋_GB2312" w:cs="Times New Roman"/>
          <w:sz w:val="32"/>
          <w:szCs w:val="32"/>
        </w:rPr>
      </w:pPr>
      <w:r>
        <w:rPr>
          <w:rFonts w:hint="eastAsia" w:ascii="仿宋_GB2312" w:hAnsi="Times New Roman" w:eastAsia="仿宋_GB2312" w:cs="Times New Roman"/>
          <w:sz w:val="32"/>
          <w:szCs w:val="32"/>
        </w:rPr>
        <w:t>202</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年1</w:t>
      </w:r>
      <w:r>
        <w:rPr>
          <w:rFonts w:hint="eastAsia" w:ascii="仿宋_GB2312" w:hAnsi="Times New Roman" w:eastAsia="仿宋_GB2312" w:cs="Times New Roman"/>
          <w:sz w:val="32"/>
          <w:szCs w:val="32"/>
          <w:lang w:val="en-US" w:eastAsia="zh-CN"/>
        </w:rPr>
        <w:t>2</w:t>
      </w:r>
      <w:r>
        <w:rPr>
          <w:rFonts w:hint="eastAsia" w:ascii="仿宋_GB2312" w:hAnsi="Times New Roman" w:eastAsia="仿宋_GB2312" w:cs="Times New Roman"/>
          <w:sz w:val="32"/>
          <w:szCs w:val="32"/>
        </w:rPr>
        <w:t>月</w:t>
      </w:r>
      <w:r>
        <w:rPr>
          <w:rFonts w:hint="eastAsia" w:ascii="仿宋_GB2312" w:hAnsi="Times New Roman" w:eastAsia="仿宋_GB2312" w:cs="Times New Roman"/>
          <w:sz w:val="32"/>
          <w:szCs w:val="32"/>
          <w:lang w:val="en-US" w:eastAsia="zh-CN"/>
        </w:rPr>
        <w:t>31</w:t>
      </w:r>
      <w:bookmarkStart w:id="20" w:name="_GoBack"/>
      <w:bookmarkEnd w:id="20"/>
      <w:r>
        <w:rPr>
          <w:rFonts w:hint="eastAsia" w:ascii="仿宋_GB2312" w:hAnsi="Times New Roman" w:eastAsia="仿宋_GB2312" w:cs="Times New Roman"/>
          <w:sz w:val="32"/>
          <w:szCs w:val="32"/>
        </w:rPr>
        <w:t>日</w:t>
      </w:r>
    </w:p>
    <w:sectPr>
      <w:footerReference r:id="rId6" w:type="first"/>
      <w:footerReference r:id="rId5" w:type="default"/>
      <w:pgSz w:w="11906" w:h="16838"/>
      <w:pgMar w:top="1440" w:right="1474" w:bottom="1440" w:left="147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r>
      <w:rPr>
        <w:rFonts w:hint="eastAsia"/>
      </w:rPr>
      <w:t>赣州蓉江新区2022年赣州蓉江新城控制性详细规划编修工作项目支出绩效评价报告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I0MWIwZjg5ODFkNjdjN2ZkM2E5YTZlZmJlNDNiZjAifQ=="/>
  </w:docVars>
  <w:rsids>
    <w:rsidRoot w:val="003E6AC9"/>
    <w:rsid w:val="00000993"/>
    <w:rsid w:val="00000C5C"/>
    <w:rsid w:val="00000F17"/>
    <w:rsid w:val="00003093"/>
    <w:rsid w:val="00006FA9"/>
    <w:rsid w:val="00007048"/>
    <w:rsid w:val="00010471"/>
    <w:rsid w:val="00010E2E"/>
    <w:rsid w:val="00013E22"/>
    <w:rsid w:val="00015235"/>
    <w:rsid w:val="00015372"/>
    <w:rsid w:val="00015EF6"/>
    <w:rsid w:val="00016B53"/>
    <w:rsid w:val="00017E5B"/>
    <w:rsid w:val="00017EC5"/>
    <w:rsid w:val="0002060F"/>
    <w:rsid w:val="000211FB"/>
    <w:rsid w:val="000213DE"/>
    <w:rsid w:val="000216FC"/>
    <w:rsid w:val="00022FC5"/>
    <w:rsid w:val="00022FCF"/>
    <w:rsid w:val="00024802"/>
    <w:rsid w:val="0002572B"/>
    <w:rsid w:val="00026CAA"/>
    <w:rsid w:val="0002702D"/>
    <w:rsid w:val="000342F5"/>
    <w:rsid w:val="00034586"/>
    <w:rsid w:val="00035EEF"/>
    <w:rsid w:val="000361F4"/>
    <w:rsid w:val="00036CBF"/>
    <w:rsid w:val="00040D8E"/>
    <w:rsid w:val="00042EC7"/>
    <w:rsid w:val="000447FC"/>
    <w:rsid w:val="00044A17"/>
    <w:rsid w:val="0004516C"/>
    <w:rsid w:val="00045E90"/>
    <w:rsid w:val="000465CE"/>
    <w:rsid w:val="0004698F"/>
    <w:rsid w:val="00047148"/>
    <w:rsid w:val="00047377"/>
    <w:rsid w:val="00047842"/>
    <w:rsid w:val="000507FE"/>
    <w:rsid w:val="00050EB6"/>
    <w:rsid w:val="00051A19"/>
    <w:rsid w:val="00052089"/>
    <w:rsid w:val="0005316D"/>
    <w:rsid w:val="00053F93"/>
    <w:rsid w:val="00054439"/>
    <w:rsid w:val="00054A1C"/>
    <w:rsid w:val="00054BB9"/>
    <w:rsid w:val="00055A85"/>
    <w:rsid w:val="000562FE"/>
    <w:rsid w:val="00056E8E"/>
    <w:rsid w:val="000604BA"/>
    <w:rsid w:val="000605AD"/>
    <w:rsid w:val="00060ACB"/>
    <w:rsid w:val="00061645"/>
    <w:rsid w:val="0006247E"/>
    <w:rsid w:val="00062ACA"/>
    <w:rsid w:val="000643DF"/>
    <w:rsid w:val="0006455E"/>
    <w:rsid w:val="000656B8"/>
    <w:rsid w:val="00065EEF"/>
    <w:rsid w:val="00067EDB"/>
    <w:rsid w:val="00067FD4"/>
    <w:rsid w:val="00072C45"/>
    <w:rsid w:val="00072F36"/>
    <w:rsid w:val="00073C81"/>
    <w:rsid w:val="00073E18"/>
    <w:rsid w:val="000742A1"/>
    <w:rsid w:val="000746B8"/>
    <w:rsid w:val="00074A0C"/>
    <w:rsid w:val="00074C59"/>
    <w:rsid w:val="00074D47"/>
    <w:rsid w:val="00076980"/>
    <w:rsid w:val="00076AEF"/>
    <w:rsid w:val="00077042"/>
    <w:rsid w:val="000801C4"/>
    <w:rsid w:val="00080612"/>
    <w:rsid w:val="00082918"/>
    <w:rsid w:val="000841E7"/>
    <w:rsid w:val="000847DF"/>
    <w:rsid w:val="00087608"/>
    <w:rsid w:val="000876EF"/>
    <w:rsid w:val="00087741"/>
    <w:rsid w:val="0009094B"/>
    <w:rsid w:val="000909F4"/>
    <w:rsid w:val="00090A71"/>
    <w:rsid w:val="00092299"/>
    <w:rsid w:val="00093CFC"/>
    <w:rsid w:val="00094098"/>
    <w:rsid w:val="000954D5"/>
    <w:rsid w:val="000974C8"/>
    <w:rsid w:val="00097EC2"/>
    <w:rsid w:val="000A17FF"/>
    <w:rsid w:val="000A1EF6"/>
    <w:rsid w:val="000A21A2"/>
    <w:rsid w:val="000A2BF8"/>
    <w:rsid w:val="000A39A6"/>
    <w:rsid w:val="000A3E21"/>
    <w:rsid w:val="000A6717"/>
    <w:rsid w:val="000A6FC4"/>
    <w:rsid w:val="000A73C3"/>
    <w:rsid w:val="000B0EAF"/>
    <w:rsid w:val="000B1F31"/>
    <w:rsid w:val="000B200B"/>
    <w:rsid w:val="000B3F53"/>
    <w:rsid w:val="000B458A"/>
    <w:rsid w:val="000B4CE2"/>
    <w:rsid w:val="000C096C"/>
    <w:rsid w:val="000C2138"/>
    <w:rsid w:val="000C2903"/>
    <w:rsid w:val="000C3059"/>
    <w:rsid w:val="000C34AC"/>
    <w:rsid w:val="000C4DD3"/>
    <w:rsid w:val="000C56E7"/>
    <w:rsid w:val="000C580A"/>
    <w:rsid w:val="000C6232"/>
    <w:rsid w:val="000C7049"/>
    <w:rsid w:val="000C7C66"/>
    <w:rsid w:val="000D06B4"/>
    <w:rsid w:val="000D3327"/>
    <w:rsid w:val="000D37C7"/>
    <w:rsid w:val="000D3858"/>
    <w:rsid w:val="000D57C5"/>
    <w:rsid w:val="000D75A9"/>
    <w:rsid w:val="000D7DE4"/>
    <w:rsid w:val="000E1230"/>
    <w:rsid w:val="000E131A"/>
    <w:rsid w:val="000E2044"/>
    <w:rsid w:val="000E2068"/>
    <w:rsid w:val="000E20BE"/>
    <w:rsid w:val="000E367D"/>
    <w:rsid w:val="000E3E05"/>
    <w:rsid w:val="000E42E5"/>
    <w:rsid w:val="000E4414"/>
    <w:rsid w:val="000E586C"/>
    <w:rsid w:val="000E5CB4"/>
    <w:rsid w:val="000E7C4C"/>
    <w:rsid w:val="000F0F7E"/>
    <w:rsid w:val="000F1884"/>
    <w:rsid w:val="000F20CF"/>
    <w:rsid w:val="000F492E"/>
    <w:rsid w:val="000F75C4"/>
    <w:rsid w:val="000F7A99"/>
    <w:rsid w:val="001008C5"/>
    <w:rsid w:val="00100916"/>
    <w:rsid w:val="00101F23"/>
    <w:rsid w:val="001028B3"/>
    <w:rsid w:val="0010337B"/>
    <w:rsid w:val="0010407E"/>
    <w:rsid w:val="00105C79"/>
    <w:rsid w:val="00107C70"/>
    <w:rsid w:val="00107FCF"/>
    <w:rsid w:val="00110AE7"/>
    <w:rsid w:val="00110EC6"/>
    <w:rsid w:val="00110FF4"/>
    <w:rsid w:val="00112806"/>
    <w:rsid w:val="001134DC"/>
    <w:rsid w:val="001138B5"/>
    <w:rsid w:val="00113A1E"/>
    <w:rsid w:val="00113E31"/>
    <w:rsid w:val="0011699A"/>
    <w:rsid w:val="0011783B"/>
    <w:rsid w:val="0011784E"/>
    <w:rsid w:val="001178EF"/>
    <w:rsid w:val="00117B39"/>
    <w:rsid w:val="0012003C"/>
    <w:rsid w:val="00121596"/>
    <w:rsid w:val="00122686"/>
    <w:rsid w:val="00123059"/>
    <w:rsid w:val="00123CF6"/>
    <w:rsid w:val="00125649"/>
    <w:rsid w:val="0012613E"/>
    <w:rsid w:val="00126F13"/>
    <w:rsid w:val="00130097"/>
    <w:rsid w:val="00132A42"/>
    <w:rsid w:val="00132D6C"/>
    <w:rsid w:val="00134488"/>
    <w:rsid w:val="00134803"/>
    <w:rsid w:val="001358B8"/>
    <w:rsid w:val="00137346"/>
    <w:rsid w:val="00140A0E"/>
    <w:rsid w:val="00141DFD"/>
    <w:rsid w:val="00141F8B"/>
    <w:rsid w:val="00143AF1"/>
    <w:rsid w:val="00143CC0"/>
    <w:rsid w:val="00143CE6"/>
    <w:rsid w:val="00146E13"/>
    <w:rsid w:val="00147068"/>
    <w:rsid w:val="00147075"/>
    <w:rsid w:val="0014729F"/>
    <w:rsid w:val="001472C6"/>
    <w:rsid w:val="001475D1"/>
    <w:rsid w:val="00151697"/>
    <w:rsid w:val="00151A0B"/>
    <w:rsid w:val="00152EBD"/>
    <w:rsid w:val="00152F8A"/>
    <w:rsid w:val="00154A51"/>
    <w:rsid w:val="00154B47"/>
    <w:rsid w:val="00154BE7"/>
    <w:rsid w:val="0015659C"/>
    <w:rsid w:val="0015759A"/>
    <w:rsid w:val="0015768D"/>
    <w:rsid w:val="00160D27"/>
    <w:rsid w:val="00162692"/>
    <w:rsid w:val="001632CD"/>
    <w:rsid w:val="001660BA"/>
    <w:rsid w:val="001663E6"/>
    <w:rsid w:val="00167753"/>
    <w:rsid w:val="00167E6F"/>
    <w:rsid w:val="00171520"/>
    <w:rsid w:val="001724E2"/>
    <w:rsid w:val="00172BD8"/>
    <w:rsid w:val="001752B3"/>
    <w:rsid w:val="00176731"/>
    <w:rsid w:val="00176BCE"/>
    <w:rsid w:val="00177013"/>
    <w:rsid w:val="0018035F"/>
    <w:rsid w:val="001826FD"/>
    <w:rsid w:val="00183022"/>
    <w:rsid w:val="00185EE3"/>
    <w:rsid w:val="0018660A"/>
    <w:rsid w:val="00186BD3"/>
    <w:rsid w:val="00187EED"/>
    <w:rsid w:val="00191F87"/>
    <w:rsid w:val="00194AC6"/>
    <w:rsid w:val="00194B9B"/>
    <w:rsid w:val="00195E00"/>
    <w:rsid w:val="00197568"/>
    <w:rsid w:val="001A09F7"/>
    <w:rsid w:val="001A3210"/>
    <w:rsid w:val="001A3281"/>
    <w:rsid w:val="001A359B"/>
    <w:rsid w:val="001A38D1"/>
    <w:rsid w:val="001A3A8A"/>
    <w:rsid w:val="001A4822"/>
    <w:rsid w:val="001A524E"/>
    <w:rsid w:val="001A5E15"/>
    <w:rsid w:val="001A63FF"/>
    <w:rsid w:val="001A6CE3"/>
    <w:rsid w:val="001A6EF4"/>
    <w:rsid w:val="001A73EA"/>
    <w:rsid w:val="001A7948"/>
    <w:rsid w:val="001B1F63"/>
    <w:rsid w:val="001B1FF5"/>
    <w:rsid w:val="001B3104"/>
    <w:rsid w:val="001B355B"/>
    <w:rsid w:val="001B3FAE"/>
    <w:rsid w:val="001B43BE"/>
    <w:rsid w:val="001B572E"/>
    <w:rsid w:val="001B5EDF"/>
    <w:rsid w:val="001B741B"/>
    <w:rsid w:val="001B7948"/>
    <w:rsid w:val="001B7BED"/>
    <w:rsid w:val="001B7E05"/>
    <w:rsid w:val="001C086B"/>
    <w:rsid w:val="001C0A86"/>
    <w:rsid w:val="001C0CC1"/>
    <w:rsid w:val="001C1493"/>
    <w:rsid w:val="001C1BD5"/>
    <w:rsid w:val="001C2C10"/>
    <w:rsid w:val="001C38F8"/>
    <w:rsid w:val="001C4BA6"/>
    <w:rsid w:val="001C4EAC"/>
    <w:rsid w:val="001D0DE4"/>
    <w:rsid w:val="001D101B"/>
    <w:rsid w:val="001D138C"/>
    <w:rsid w:val="001D384D"/>
    <w:rsid w:val="001D3BCF"/>
    <w:rsid w:val="001D4743"/>
    <w:rsid w:val="001D51B0"/>
    <w:rsid w:val="001D5A2D"/>
    <w:rsid w:val="001D6AAF"/>
    <w:rsid w:val="001D7E12"/>
    <w:rsid w:val="001E01A4"/>
    <w:rsid w:val="001E1462"/>
    <w:rsid w:val="001E298F"/>
    <w:rsid w:val="001E31E7"/>
    <w:rsid w:val="001E3BB5"/>
    <w:rsid w:val="001E48FC"/>
    <w:rsid w:val="001E5614"/>
    <w:rsid w:val="001E5B5C"/>
    <w:rsid w:val="001E7090"/>
    <w:rsid w:val="001F0EA1"/>
    <w:rsid w:val="001F18D5"/>
    <w:rsid w:val="001F24EC"/>
    <w:rsid w:val="001F2BB5"/>
    <w:rsid w:val="001F388F"/>
    <w:rsid w:val="001F3AB8"/>
    <w:rsid w:val="001F6428"/>
    <w:rsid w:val="001F6F88"/>
    <w:rsid w:val="001F781B"/>
    <w:rsid w:val="00200CED"/>
    <w:rsid w:val="00200DD1"/>
    <w:rsid w:val="00204DB6"/>
    <w:rsid w:val="0020505A"/>
    <w:rsid w:val="00210409"/>
    <w:rsid w:val="002105F0"/>
    <w:rsid w:val="00212821"/>
    <w:rsid w:val="00217D81"/>
    <w:rsid w:val="00220C99"/>
    <w:rsid w:val="00221AFD"/>
    <w:rsid w:val="00222992"/>
    <w:rsid w:val="002232C0"/>
    <w:rsid w:val="00223950"/>
    <w:rsid w:val="002239D2"/>
    <w:rsid w:val="00224636"/>
    <w:rsid w:val="0022539D"/>
    <w:rsid w:val="00225A4B"/>
    <w:rsid w:val="00225CAE"/>
    <w:rsid w:val="00226889"/>
    <w:rsid w:val="002273CC"/>
    <w:rsid w:val="00230F76"/>
    <w:rsid w:val="00233846"/>
    <w:rsid w:val="00234096"/>
    <w:rsid w:val="002404F7"/>
    <w:rsid w:val="00242276"/>
    <w:rsid w:val="00242A21"/>
    <w:rsid w:val="00244B53"/>
    <w:rsid w:val="00244ED8"/>
    <w:rsid w:val="00245448"/>
    <w:rsid w:val="00245F35"/>
    <w:rsid w:val="0024653F"/>
    <w:rsid w:val="00246D4F"/>
    <w:rsid w:val="002506FB"/>
    <w:rsid w:val="00251084"/>
    <w:rsid w:val="002515BC"/>
    <w:rsid w:val="002522FE"/>
    <w:rsid w:val="00252D8D"/>
    <w:rsid w:val="0025465A"/>
    <w:rsid w:val="00256672"/>
    <w:rsid w:val="002567EE"/>
    <w:rsid w:val="00256A3E"/>
    <w:rsid w:val="00260767"/>
    <w:rsid w:val="0026204E"/>
    <w:rsid w:val="002627AA"/>
    <w:rsid w:val="00265A98"/>
    <w:rsid w:val="00266311"/>
    <w:rsid w:val="00267888"/>
    <w:rsid w:val="0027286B"/>
    <w:rsid w:val="00273BF5"/>
    <w:rsid w:val="002818C1"/>
    <w:rsid w:val="00282B7C"/>
    <w:rsid w:val="002833B1"/>
    <w:rsid w:val="002842A9"/>
    <w:rsid w:val="00285CB6"/>
    <w:rsid w:val="002860F0"/>
    <w:rsid w:val="00287342"/>
    <w:rsid w:val="00287CFF"/>
    <w:rsid w:val="00290BD5"/>
    <w:rsid w:val="00290E32"/>
    <w:rsid w:val="0029172C"/>
    <w:rsid w:val="00291C3B"/>
    <w:rsid w:val="00291F3B"/>
    <w:rsid w:val="00292CF4"/>
    <w:rsid w:val="002971FF"/>
    <w:rsid w:val="00297F8B"/>
    <w:rsid w:val="002A0470"/>
    <w:rsid w:val="002A077B"/>
    <w:rsid w:val="002A2E8D"/>
    <w:rsid w:val="002A31C0"/>
    <w:rsid w:val="002A4794"/>
    <w:rsid w:val="002A5ECD"/>
    <w:rsid w:val="002A70A8"/>
    <w:rsid w:val="002A73B0"/>
    <w:rsid w:val="002A7992"/>
    <w:rsid w:val="002B1377"/>
    <w:rsid w:val="002B22E1"/>
    <w:rsid w:val="002B3429"/>
    <w:rsid w:val="002B4602"/>
    <w:rsid w:val="002C044D"/>
    <w:rsid w:val="002C0EB7"/>
    <w:rsid w:val="002C202A"/>
    <w:rsid w:val="002C2553"/>
    <w:rsid w:val="002C3100"/>
    <w:rsid w:val="002C551A"/>
    <w:rsid w:val="002C581E"/>
    <w:rsid w:val="002C5E82"/>
    <w:rsid w:val="002D0445"/>
    <w:rsid w:val="002D165B"/>
    <w:rsid w:val="002D1C25"/>
    <w:rsid w:val="002D21B7"/>
    <w:rsid w:val="002D331D"/>
    <w:rsid w:val="002D37B6"/>
    <w:rsid w:val="002D50DA"/>
    <w:rsid w:val="002D5C9B"/>
    <w:rsid w:val="002E11F1"/>
    <w:rsid w:val="002E182F"/>
    <w:rsid w:val="002E394D"/>
    <w:rsid w:val="002E3D90"/>
    <w:rsid w:val="002E4045"/>
    <w:rsid w:val="002E4318"/>
    <w:rsid w:val="002E5444"/>
    <w:rsid w:val="002F1671"/>
    <w:rsid w:val="002F1B74"/>
    <w:rsid w:val="002F20F7"/>
    <w:rsid w:val="002F213C"/>
    <w:rsid w:val="002F283C"/>
    <w:rsid w:val="002F3DB9"/>
    <w:rsid w:val="002F459A"/>
    <w:rsid w:val="002F4E85"/>
    <w:rsid w:val="002F53D0"/>
    <w:rsid w:val="002F58AE"/>
    <w:rsid w:val="00300633"/>
    <w:rsid w:val="00300C6C"/>
    <w:rsid w:val="00302662"/>
    <w:rsid w:val="00302D5C"/>
    <w:rsid w:val="00305514"/>
    <w:rsid w:val="00306592"/>
    <w:rsid w:val="00307810"/>
    <w:rsid w:val="00310546"/>
    <w:rsid w:val="0031348A"/>
    <w:rsid w:val="00313D1A"/>
    <w:rsid w:val="00314CE4"/>
    <w:rsid w:val="00317F1B"/>
    <w:rsid w:val="003237C5"/>
    <w:rsid w:val="00325B03"/>
    <w:rsid w:val="00327A4E"/>
    <w:rsid w:val="00327AD2"/>
    <w:rsid w:val="00331B8A"/>
    <w:rsid w:val="00332D81"/>
    <w:rsid w:val="00333BF4"/>
    <w:rsid w:val="00333F96"/>
    <w:rsid w:val="00334EFE"/>
    <w:rsid w:val="0033635A"/>
    <w:rsid w:val="00336691"/>
    <w:rsid w:val="00336AA5"/>
    <w:rsid w:val="00337D23"/>
    <w:rsid w:val="00342A05"/>
    <w:rsid w:val="00343385"/>
    <w:rsid w:val="00343862"/>
    <w:rsid w:val="00344A89"/>
    <w:rsid w:val="00345F37"/>
    <w:rsid w:val="00346385"/>
    <w:rsid w:val="00347250"/>
    <w:rsid w:val="003478E1"/>
    <w:rsid w:val="00352F1C"/>
    <w:rsid w:val="00353DD8"/>
    <w:rsid w:val="003551D7"/>
    <w:rsid w:val="0035533B"/>
    <w:rsid w:val="00355786"/>
    <w:rsid w:val="003563C0"/>
    <w:rsid w:val="00356709"/>
    <w:rsid w:val="00357263"/>
    <w:rsid w:val="0035798D"/>
    <w:rsid w:val="0036069B"/>
    <w:rsid w:val="00360C87"/>
    <w:rsid w:val="0036327B"/>
    <w:rsid w:val="0036327D"/>
    <w:rsid w:val="00363919"/>
    <w:rsid w:val="00363A2D"/>
    <w:rsid w:val="00364A91"/>
    <w:rsid w:val="00366D5A"/>
    <w:rsid w:val="00371CD8"/>
    <w:rsid w:val="00372AD0"/>
    <w:rsid w:val="00372FE3"/>
    <w:rsid w:val="00375942"/>
    <w:rsid w:val="00376E15"/>
    <w:rsid w:val="00376ECA"/>
    <w:rsid w:val="00377A48"/>
    <w:rsid w:val="003804E4"/>
    <w:rsid w:val="00380FA8"/>
    <w:rsid w:val="00381C37"/>
    <w:rsid w:val="0038216F"/>
    <w:rsid w:val="00382788"/>
    <w:rsid w:val="00384EAF"/>
    <w:rsid w:val="003862F8"/>
    <w:rsid w:val="0038641B"/>
    <w:rsid w:val="00386911"/>
    <w:rsid w:val="00386DA0"/>
    <w:rsid w:val="003873B4"/>
    <w:rsid w:val="00387742"/>
    <w:rsid w:val="0038782A"/>
    <w:rsid w:val="00390DD3"/>
    <w:rsid w:val="00391699"/>
    <w:rsid w:val="00391A04"/>
    <w:rsid w:val="00392603"/>
    <w:rsid w:val="00392652"/>
    <w:rsid w:val="00392F47"/>
    <w:rsid w:val="00393775"/>
    <w:rsid w:val="00393870"/>
    <w:rsid w:val="0039431B"/>
    <w:rsid w:val="00394958"/>
    <w:rsid w:val="0039588A"/>
    <w:rsid w:val="00397651"/>
    <w:rsid w:val="003A2947"/>
    <w:rsid w:val="003A313A"/>
    <w:rsid w:val="003A3693"/>
    <w:rsid w:val="003A43B9"/>
    <w:rsid w:val="003A43EA"/>
    <w:rsid w:val="003A5B89"/>
    <w:rsid w:val="003A6777"/>
    <w:rsid w:val="003A7BAE"/>
    <w:rsid w:val="003B0F34"/>
    <w:rsid w:val="003B0F89"/>
    <w:rsid w:val="003B1934"/>
    <w:rsid w:val="003B211D"/>
    <w:rsid w:val="003B3C2C"/>
    <w:rsid w:val="003B57CF"/>
    <w:rsid w:val="003B591A"/>
    <w:rsid w:val="003B5AD7"/>
    <w:rsid w:val="003B7400"/>
    <w:rsid w:val="003B750C"/>
    <w:rsid w:val="003C21F6"/>
    <w:rsid w:val="003C2327"/>
    <w:rsid w:val="003C350A"/>
    <w:rsid w:val="003C5574"/>
    <w:rsid w:val="003C77B3"/>
    <w:rsid w:val="003D0F5B"/>
    <w:rsid w:val="003D11C7"/>
    <w:rsid w:val="003D1302"/>
    <w:rsid w:val="003D1707"/>
    <w:rsid w:val="003D3C1D"/>
    <w:rsid w:val="003D5EA2"/>
    <w:rsid w:val="003D6DED"/>
    <w:rsid w:val="003D7045"/>
    <w:rsid w:val="003D779F"/>
    <w:rsid w:val="003E0E2E"/>
    <w:rsid w:val="003E1B98"/>
    <w:rsid w:val="003E39AF"/>
    <w:rsid w:val="003E6AC9"/>
    <w:rsid w:val="003E7376"/>
    <w:rsid w:val="003F4268"/>
    <w:rsid w:val="003F5D38"/>
    <w:rsid w:val="003F6AB7"/>
    <w:rsid w:val="003F737D"/>
    <w:rsid w:val="003F7863"/>
    <w:rsid w:val="004021AA"/>
    <w:rsid w:val="00402FE9"/>
    <w:rsid w:val="0040431E"/>
    <w:rsid w:val="00404322"/>
    <w:rsid w:val="0040456E"/>
    <w:rsid w:val="00404604"/>
    <w:rsid w:val="0040483F"/>
    <w:rsid w:val="00404F43"/>
    <w:rsid w:val="0040554D"/>
    <w:rsid w:val="00405A28"/>
    <w:rsid w:val="004101F9"/>
    <w:rsid w:val="0041055D"/>
    <w:rsid w:val="0041067D"/>
    <w:rsid w:val="0041211E"/>
    <w:rsid w:val="004139DE"/>
    <w:rsid w:val="00413DED"/>
    <w:rsid w:val="0041422C"/>
    <w:rsid w:val="00414973"/>
    <w:rsid w:val="00415650"/>
    <w:rsid w:val="00415761"/>
    <w:rsid w:val="00415882"/>
    <w:rsid w:val="00415E07"/>
    <w:rsid w:val="00416F9D"/>
    <w:rsid w:val="00417BD0"/>
    <w:rsid w:val="00417F42"/>
    <w:rsid w:val="00420009"/>
    <w:rsid w:val="00423D31"/>
    <w:rsid w:val="0042469E"/>
    <w:rsid w:val="00425C8E"/>
    <w:rsid w:val="00425DC5"/>
    <w:rsid w:val="00426E99"/>
    <w:rsid w:val="00430318"/>
    <w:rsid w:val="004304DB"/>
    <w:rsid w:val="00432D7C"/>
    <w:rsid w:val="0043306A"/>
    <w:rsid w:val="0043546E"/>
    <w:rsid w:val="00435D48"/>
    <w:rsid w:val="00437D3F"/>
    <w:rsid w:val="00441743"/>
    <w:rsid w:val="0044235D"/>
    <w:rsid w:val="00443453"/>
    <w:rsid w:val="004435F3"/>
    <w:rsid w:val="00443DDE"/>
    <w:rsid w:val="004446C8"/>
    <w:rsid w:val="00445218"/>
    <w:rsid w:val="00445977"/>
    <w:rsid w:val="00446480"/>
    <w:rsid w:val="00451D9F"/>
    <w:rsid w:val="0045271A"/>
    <w:rsid w:val="00453CEE"/>
    <w:rsid w:val="00455FF4"/>
    <w:rsid w:val="004606F0"/>
    <w:rsid w:val="00461587"/>
    <w:rsid w:val="004619CC"/>
    <w:rsid w:val="00461B2B"/>
    <w:rsid w:val="00461B9B"/>
    <w:rsid w:val="004632C0"/>
    <w:rsid w:val="00463FDE"/>
    <w:rsid w:val="004642C4"/>
    <w:rsid w:val="004666F3"/>
    <w:rsid w:val="00471069"/>
    <w:rsid w:val="0047136A"/>
    <w:rsid w:val="00471A11"/>
    <w:rsid w:val="00472056"/>
    <w:rsid w:val="00472D18"/>
    <w:rsid w:val="00472DAC"/>
    <w:rsid w:val="004731BD"/>
    <w:rsid w:val="00473B4B"/>
    <w:rsid w:val="00473D28"/>
    <w:rsid w:val="00473E9D"/>
    <w:rsid w:val="00474AED"/>
    <w:rsid w:val="00474E57"/>
    <w:rsid w:val="004761AE"/>
    <w:rsid w:val="00477B07"/>
    <w:rsid w:val="00477E08"/>
    <w:rsid w:val="00482273"/>
    <w:rsid w:val="00483CFF"/>
    <w:rsid w:val="00484CD2"/>
    <w:rsid w:val="00485B27"/>
    <w:rsid w:val="0048654C"/>
    <w:rsid w:val="00486593"/>
    <w:rsid w:val="004866A7"/>
    <w:rsid w:val="004900BF"/>
    <w:rsid w:val="00491E71"/>
    <w:rsid w:val="00492F1B"/>
    <w:rsid w:val="004930D4"/>
    <w:rsid w:val="004961BB"/>
    <w:rsid w:val="004A0F89"/>
    <w:rsid w:val="004A15DD"/>
    <w:rsid w:val="004A2771"/>
    <w:rsid w:val="004A2F5B"/>
    <w:rsid w:val="004A373F"/>
    <w:rsid w:val="004A5A8B"/>
    <w:rsid w:val="004A614B"/>
    <w:rsid w:val="004A7469"/>
    <w:rsid w:val="004A7FDE"/>
    <w:rsid w:val="004B02B3"/>
    <w:rsid w:val="004B0990"/>
    <w:rsid w:val="004B0A8F"/>
    <w:rsid w:val="004B1388"/>
    <w:rsid w:val="004B371B"/>
    <w:rsid w:val="004B4331"/>
    <w:rsid w:val="004B499D"/>
    <w:rsid w:val="004B5920"/>
    <w:rsid w:val="004B608B"/>
    <w:rsid w:val="004B79AA"/>
    <w:rsid w:val="004C03AD"/>
    <w:rsid w:val="004C2AB3"/>
    <w:rsid w:val="004C2AE3"/>
    <w:rsid w:val="004C531B"/>
    <w:rsid w:val="004C58E9"/>
    <w:rsid w:val="004C682F"/>
    <w:rsid w:val="004C726A"/>
    <w:rsid w:val="004D0B70"/>
    <w:rsid w:val="004D30E0"/>
    <w:rsid w:val="004D382E"/>
    <w:rsid w:val="004D51A8"/>
    <w:rsid w:val="004D6512"/>
    <w:rsid w:val="004D6AF6"/>
    <w:rsid w:val="004D7382"/>
    <w:rsid w:val="004E03E5"/>
    <w:rsid w:val="004E1192"/>
    <w:rsid w:val="004E1F70"/>
    <w:rsid w:val="004E20D8"/>
    <w:rsid w:val="004E2C0E"/>
    <w:rsid w:val="004E43AE"/>
    <w:rsid w:val="004E6A56"/>
    <w:rsid w:val="004E71B5"/>
    <w:rsid w:val="004F1B08"/>
    <w:rsid w:val="004F2687"/>
    <w:rsid w:val="004F37BC"/>
    <w:rsid w:val="004F50ED"/>
    <w:rsid w:val="004F5E9E"/>
    <w:rsid w:val="004F7B55"/>
    <w:rsid w:val="004F7E1F"/>
    <w:rsid w:val="004F7F74"/>
    <w:rsid w:val="0050177B"/>
    <w:rsid w:val="00501D4A"/>
    <w:rsid w:val="005039B2"/>
    <w:rsid w:val="005059BB"/>
    <w:rsid w:val="00506DCA"/>
    <w:rsid w:val="00507A75"/>
    <w:rsid w:val="0051066E"/>
    <w:rsid w:val="005107D3"/>
    <w:rsid w:val="0051141A"/>
    <w:rsid w:val="00515469"/>
    <w:rsid w:val="00515BB7"/>
    <w:rsid w:val="00516CCB"/>
    <w:rsid w:val="00516DFF"/>
    <w:rsid w:val="005175B4"/>
    <w:rsid w:val="00517A03"/>
    <w:rsid w:val="00520A86"/>
    <w:rsid w:val="00521ADD"/>
    <w:rsid w:val="00522C97"/>
    <w:rsid w:val="00525211"/>
    <w:rsid w:val="00530C01"/>
    <w:rsid w:val="00530C83"/>
    <w:rsid w:val="005319AF"/>
    <w:rsid w:val="005322D4"/>
    <w:rsid w:val="005350AF"/>
    <w:rsid w:val="005362E5"/>
    <w:rsid w:val="00536808"/>
    <w:rsid w:val="00536969"/>
    <w:rsid w:val="00537CF0"/>
    <w:rsid w:val="005404B5"/>
    <w:rsid w:val="00541010"/>
    <w:rsid w:val="0054179B"/>
    <w:rsid w:val="00541E8F"/>
    <w:rsid w:val="00542911"/>
    <w:rsid w:val="00544964"/>
    <w:rsid w:val="00546456"/>
    <w:rsid w:val="00547676"/>
    <w:rsid w:val="00547E63"/>
    <w:rsid w:val="00553B7C"/>
    <w:rsid w:val="00554EB6"/>
    <w:rsid w:val="00555694"/>
    <w:rsid w:val="005561AA"/>
    <w:rsid w:val="005616E7"/>
    <w:rsid w:val="00562592"/>
    <w:rsid w:val="00563E55"/>
    <w:rsid w:val="00564FE6"/>
    <w:rsid w:val="0056500E"/>
    <w:rsid w:val="00565052"/>
    <w:rsid w:val="00566564"/>
    <w:rsid w:val="00566E0D"/>
    <w:rsid w:val="00566EF2"/>
    <w:rsid w:val="00566FED"/>
    <w:rsid w:val="0056758A"/>
    <w:rsid w:val="005677E0"/>
    <w:rsid w:val="00567CDD"/>
    <w:rsid w:val="00567DB3"/>
    <w:rsid w:val="00567ED5"/>
    <w:rsid w:val="00570277"/>
    <w:rsid w:val="00571494"/>
    <w:rsid w:val="005718B2"/>
    <w:rsid w:val="00572880"/>
    <w:rsid w:val="00573B51"/>
    <w:rsid w:val="005740C0"/>
    <w:rsid w:val="00575EA8"/>
    <w:rsid w:val="00576E47"/>
    <w:rsid w:val="00577F9A"/>
    <w:rsid w:val="00580C8C"/>
    <w:rsid w:val="00581790"/>
    <w:rsid w:val="00581F8A"/>
    <w:rsid w:val="00582A14"/>
    <w:rsid w:val="0058319E"/>
    <w:rsid w:val="00583251"/>
    <w:rsid w:val="005833C6"/>
    <w:rsid w:val="0058669A"/>
    <w:rsid w:val="00586C0B"/>
    <w:rsid w:val="00586C31"/>
    <w:rsid w:val="0058717A"/>
    <w:rsid w:val="00587CA0"/>
    <w:rsid w:val="00587E64"/>
    <w:rsid w:val="0059196B"/>
    <w:rsid w:val="0059232E"/>
    <w:rsid w:val="00593C27"/>
    <w:rsid w:val="00595C96"/>
    <w:rsid w:val="00596E0C"/>
    <w:rsid w:val="005A1B61"/>
    <w:rsid w:val="005A47E7"/>
    <w:rsid w:val="005A5C61"/>
    <w:rsid w:val="005A5F5E"/>
    <w:rsid w:val="005A63C4"/>
    <w:rsid w:val="005B1339"/>
    <w:rsid w:val="005B1448"/>
    <w:rsid w:val="005B14E1"/>
    <w:rsid w:val="005B2A39"/>
    <w:rsid w:val="005B46D1"/>
    <w:rsid w:val="005B49E0"/>
    <w:rsid w:val="005B4DBE"/>
    <w:rsid w:val="005B51CA"/>
    <w:rsid w:val="005B68DE"/>
    <w:rsid w:val="005B6B34"/>
    <w:rsid w:val="005B7927"/>
    <w:rsid w:val="005B7B46"/>
    <w:rsid w:val="005C09C5"/>
    <w:rsid w:val="005C14EE"/>
    <w:rsid w:val="005C3190"/>
    <w:rsid w:val="005C3277"/>
    <w:rsid w:val="005C3468"/>
    <w:rsid w:val="005C3ECB"/>
    <w:rsid w:val="005C4412"/>
    <w:rsid w:val="005C4BBF"/>
    <w:rsid w:val="005C5873"/>
    <w:rsid w:val="005C66A5"/>
    <w:rsid w:val="005C7117"/>
    <w:rsid w:val="005D059F"/>
    <w:rsid w:val="005D0E4D"/>
    <w:rsid w:val="005D1084"/>
    <w:rsid w:val="005D14AA"/>
    <w:rsid w:val="005D33AB"/>
    <w:rsid w:val="005D377E"/>
    <w:rsid w:val="005D3DF0"/>
    <w:rsid w:val="005D4035"/>
    <w:rsid w:val="005D5193"/>
    <w:rsid w:val="005D6058"/>
    <w:rsid w:val="005E1B5F"/>
    <w:rsid w:val="005E27D0"/>
    <w:rsid w:val="005E2C76"/>
    <w:rsid w:val="005E32EF"/>
    <w:rsid w:val="005E446A"/>
    <w:rsid w:val="005E47DE"/>
    <w:rsid w:val="005E4BE1"/>
    <w:rsid w:val="005E53E9"/>
    <w:rsid w:val="005E54D5"/>
    <w:rsid w:val="005E7B80"/>
    <w:rsid w:val="005F0A3E"/>
    <w:rsid w:val="005F2C97"/>
    <w:rsid w:val="005F3C31"/>
    <w:rsid w:val="005F3C9B"/>
    <w:rsid w:val="005F420B"/>
    <w:rsid w:val="005F4BCE"/>
    <w:rsid w:val="005F5956"/>
    <w:rsid w:val="005F5F55"/>
    <w:rsid w:val="005F746A"/>
    <w:rsid w:val="005F7E75"/>
    <w:rsid w:val="00600D58"/>
    <w:rsid w:val="006010C7"/>
    <w:rsid w:val="00602F87"/>
    <w:rsid w:val="00603698"/>
    <w:rsid w:val="006042C2"/>
    <w:rsid w:val="006042D2"/>
    <w:rsid w:val="0060431F"/>
    <w:rsid w:val="0060505A"/>
    <w:rsid w:val="0060546D"/>
    <w:rsid w:val="00605E9E"/>
    <w:rsid w:val="00606F77"/>
    <w:rsid w:val="006103D6"/>
    <w:rsid w:val="00610E79"/>
    <w:rsid w:val="0061333C"/>
    <w:rsid w:val="00614BB6"/>
    <w:rsid w:val="00614E74"/>
    <w:rsid w:val="006170F9"/>
    <w:rsid w:val="00617829"/>
    <w:rsid w:val="00621251"/>
    <w:rsid w:val="00622339"/>
    <w:rsid w:val="00623960"/>
    <w:rsid w:val="00623C8F"/>
    <w:rsid w:val="00623DB9"/>
    <w:rsid w:val="00624669"/>
    <w:rsid w:val="006255FB"/>
    <w:rsid w:val="0062602A"/>
    <w:rsid w:val="00630BD3"/>
    <w:rsid w:val="00631793"/>
    <w:rsid w:val="00632475"/>
    <w:rsid w:val="006337F0"/>
    <w:rsid w:val="00633905"/>
    <w:rsid w:val="00633B04"/>
    <w:rsid w:val="0063490B"/>
    <w:rsid w:val="00635957"/>
    <w:rsid w:val="00635F3D"/>
    <w:rsid w:val="00640F90"/>
    <w:rsid w:val="0064110A"/>
    <w:rsid w:val="006419DD"/>
    <w:rsid w:val="006438A2"/>
    <w:rsid w:val="0064417F"/>
    <w:rsid w:val="00644395"/>
    <w:rsid w:val="00644E89"/>
    <w:rsid w:val="00644E8C"/>
    <w:rsid w:val="0064553D"/>
    <w:rsid w:val="00645F58"/>
    <w:rsid w:val="00647BCF"/>
    <w:rsid w:val="00650F0C"/>
    <w:rsid w:val="00653A84"/>
    <w:rsid w:val="00655692"/>
    <w:rsid w:val="00660162"/>
    <w:rsid w:val="00660D5F"/>
    <w:rsid w:val="00662D9F"/>
    <w:rsid w:val="006643BF"/>
    <w:rsid w:val="00665325"/>
    <w:rsid w:val="00666629"/>
    <w:rsid w:val="00666659"/>
    <w:rsid w:val="006668FB"/>
    <w:rsid w:val="006676EB"/>
    <w:rsid w:val="0066795B"/>
    <w:rsid w:val="00671C15"/>
    <w:rsid w:val="0067348B"/>
    <w:rsid w:val="006742B8"/>
    <w:rsid w:val="00674F05"/>
    <w:rsid w:val="00675678"/>
    <w:rsid w:val="00675726"/>
    <w:rsid w:val="0067667E"/>
    <w:rsid w:val="0067722E"/>
    <w:rsid w:val="00677768"/>
    <w:rsid w:val="00680BB0"/>
    <w:rsid w:val="0068161A"/>
    <w:rsid w:val="00681B08"/>
    <w:rsid w:val="00682210"/>
    <w:rsid w:val="0068468E"/>
    <w:rsid w:val="0068493A"/>
    <w:rsid w:val="00690E2E"/>
    <w:rsid w:val="006913E5"/>
    <w:rsid w:val="006914A4"/>
    <w:rsid w:val="00692614"/>
    <w:rsid w:val="00692695"/>
    <w:rsid w:val="006935DD"/>
    <w:rsid w:val="00693B1C"/>
    <w:rsid w:val="00694B71"/>
    <w:rsid w:val="00694D51"/>
    <w:rsid w:val="0069587F"/>
    <w:rsid w:val="00696C1C"/>
    <w:rsid w:val="00696C1F"/>
    <w:rsid w:val="0069704D"/>
    <w:rsid w:val="006A021E"/>
    <w:rsid w:val="006A05E2"/>
    <w:rsid w:val="006A1E1E"/>
    <w:rsid w:val="006A3EEB"/>
    <w:rsid w:val="006A46FC"/>
    <w:rsid w:val="006A5B96"/>
    <w:rsid w:val="006A6A67"/>
    <w:rsid w:val="006A7B6D"/>
    <w:rsid w:val="006A7CF6"/>
    <w:rsid w:val="006B17C4"/>
    <w:rsid w:val="006B2CE7"/>
    <w:rsid w:val="006B6172"/>
    <w:rsid w:val="006B76DD"/>
    <w:rsid w:val="006B7C5A"/>
    <w:rsid w:val="006C1983"/>
    <w:rsid w:val="006C1D45"/>
    <w:rsid w:val="006C1F12"/>
    <w:rsid w:val="006C36A3"/>
    <w:rsid w:val="006C4182"/>
    <w:rsid w:val="006C4789"/>
    <w:rsid w:val="006C4D55"/>
    <w:rsid w:val="006C5B05"/>
    <w:rsid w:val="006C5D20"/>
    <w:rsid w:val="006C6108"/>
    <w:rsid w:val="006C662A"/>
    <w:rsid w:val="006C6B50"/>
    <w:rsid w:val="006C7FE7"/>
    <w:rsid w:val="006D0478"/>
    <w:rsid w:val="006D0CC3"/>
    <w:rsid w:val="006D1F69"/>
    <w:rsid w:val="006D5449"/>
    <w:rsid w:val="006D6214"/>
    <w:rsid w:val="006D6908"/>
    <w:rsid w:val="006D6F92"/>
    <w:rsid w:val="006E0CE9"/>
    <w:rsid w:val="006E1496"/>
    <w:rsid w:val="006E2D56"/>
    <w:rsid w:val="006E4434"/>
    <w:rsid w:val="006E466E"/>
    <w:rsid w:val="006E4B78"/>
    <w:rsid w:val="006E4EFA"/>
    <w:rsid w:val="006E5051"/>
    <w:rsid w:val="006E5850"/>
    <w:rsid w:val="006E6279"/>
    <w:rsid w:val="006E6981"/>
    <w:rsid w:val="006E72E4"/>
    <w:rsid w:val="006E7D57"/>
    <w:rsid w:val="006F0089"/>
    <w:rsid w:val="006F28C5"/>
    <w:rsid w:val="006F36BE"/>
    <w:rsid w:val="006F3EBF"/>
    <w:rsid w:val="006F467F"/>
    <w:rsid w:val="006F78A7"/>
    <w:rsid w:val="0070079F"/>
    <w:rsid w:val="007047F4"/>
    <w:rsid w:val="007052F0"/>
    <w:rsid w:val="00705D2E"/>
    <w:rsid w:val="007068C1"/>
    <w:rsid w:val="00706AA7"/>
    <w:rsid w:val="00706C04"/>
    <w:rsid w:val="00710898"/>
    <w:rsid w:val="007111B8"/>
    <w:rsid w:val="00711553"/>
    <w:rsid w:val="007118BF"/>
    <w:rsid w:val="007131E9"/>
    <w:rsid w:val="00713465"/>
    <w:rsid w:val="0071462D"/>
    <w:rsid w:val="00714644"/>
    <w:rsid w:val="007172D5"/>
    <w:rsid w:val="00722142"/>
    <w:rsid w:val="00724AE0"/>
    <w:rsid w:val="0072558C"/>
    <w:rsid w:val="007274EF"/>
    <w:rsid w:val="00727656"/>
    <w:rsid w:val="00727970"/>
    <w:rsid w:val="00727FE4"/>
    <w:rsid w:val="007302B7"/>
    <w:rsid w:val="007330F7"/>
    <w:rsid w:val="00734C6F"/>
    <w:rsid w:val="00735A59"/>
    <w:rsid w:val="0073653B"/>
    <w:rsid w:val="007403B5"/>
    <w:rsid w:val="00740A0B"/>
    <w:rsid w:val="007410A2"/>
    <w:rsid w:val="00741241"/>
    <w:rsid w:val="007413A1"/>
    <w:rsid w:val="00741C70"/>
    <w:rsid w:val="00742F4A"/>
    <w:rsid w:val="00742FA9"/>
    <w:rsid w:val="00743B29"/>
    <w:rsid w:val="00747DA2"/>
    <w:rsid w:val="00750C38"/>
    <w:rsid w:val="00752840"/>
    <w:rsid w:val="00753C1D"/>
    <w:rsid w:val="0075497E"/>
    <w:rsid w:val="0075663B"/>
    <w:rsid w:val="00757C59"/>
    <w:rsid w:val="00760A07"/>
    <w:rsid w:val="00762A89"/>
    <w:rsid w:val="00762E18"/>
    <w:rsid w:val="00762F60"/>
    <w:rsid w:val="0076354A"/>
    <w:rsid w:val="007664C9"/>
    <w:rsid w:val="00766660"/>
    <w:rsid w:val="00766E1A"/>
    <w:rsid w:val="00770C09"/>
    <w:rsid w:val="00770C2E"/>
    <w:rsid w:val="007714DC"/>
    <w:rsid w:val="00771E46"/>
    <w:rsid w:val="00772CC4"/>
    <w:rsid w:val="0077456F"/>
    <w:rsid w:val="00775309"/>
    <w:rsid w:val="007756FE"/>
    <w:rsid w:val="00776764"/>
    <w:rsid w:val="007773AD"/>
    <w:rsid w:val="00780066"/>
    <w:rsid w:val="00780BBE"/>
    <w:rsid w:val="00781195"/>
    <w:rsid w:val="00782185"/>
    <w:rsid w:val="0078278F"/>
    <w:rsid w:val="007832CB"/>
    <w:rsid w:val="007834FF"/>
    <w:rsid w:val="007835D7"/>
    <w:rsid w:val="00785EC7"/>
    <w:rsid w:val="00786826"/>
    <w:rsid w:val="0078696C"/>
    <w:rsid w:val="007877BA"/>
    <w:rsid w:val="00787DF2"/>
    <w:rsid w:val="00790FE3"/>
    <w:rsid w:val="007914A4"/>
    <w:rsid w:val="00791A45"/>
    <w:rsid w:val="00791B1D"/>
    <w:rsid w:val="0079207F"/>
    <w:rsid w:val="00792625"/>
    <w:rsid w:val="00793534"/>
    <w:rsid w:val="0079470F"/>
    <w:rsid w:val="00794D6D"/>
    <w:rsid w:val="007952AA"/>
    <w:rsid w:val="0079585D"/>
    <w:rsid w:val="00796E20"/>
    <w:rsid w:val="007A0265"/>
    <w:rsid w:val="007A0E20"/>
    <w:rsid w:val="007A1966"/>
    <w:rsid w:val="007A1B5C"/>
    <w:rsid w:val="007A2299"/>
    <w:rsid w:val="007A297F"/>
    <w:rsid w:val="007A3F95"/>
    <w:rsid w:val="007A5A43"/>
    <w:rsid w:val="007A5C63"/>
    <w:rsid w:val="007A657A"/>
    <w:rsid w:val="007A6B65"/>
    <w:rsid w:val="007B04EB"/>
    <w:rsid w:val="007B0C16"/>
    <w:rsid w:val="007B164B"/>
    <w:rsid w:val="007B20BB"/>
    <w:rsid w:val="007B2288"/>
    <w:rsid w:val="007B2B4C"/>
    <w:rsid w:val="007B2BB7"/>
    <w:rsid w:val="007B2D35"/>
    <w:rsid w:val="007B44EB"/>
    <w:rsid w:val="007B4502"/>
    <w:rsid w:val="007B5E1B"/>
    <w:rsid w:val="007B6EC3"/>
    <w:rsid w:val="007C01AA"/>
    <w:rsid w:val="007C06BC"/>
    <w:rsid w:val="007C0842"/>
    <w:rsid w:val="007C0F05"/>
    <w:rsid w:val="007C15AC"/>
    <w:rsid w:val="007C16D2"/>
    <w:rsid w:val="007C2FF5"/>
    <w:rsid w:val="007C3A70"/>
    <w:rsid w:val="007C4C7C"/>
    <w:rsid w:val="007C614B"/>
    <w:rsid w:val="007D0198"/>
    <w:rsid w:val="007D059E"/>
    <w:rsid w:val="007D0BD6"/>
    <w:rsid w:val="007D5750"/>
    <w:rsid w:val="007D6ADF"/>
    <w:rsid w:val="007D716D"/>
    <w:rsid w:val="007D7A3B"/>
    <w:rsid w:val="007E0083"/>
    <w:rsid w:val="007E0C81"/>
    <w:rsid w:val="007E4939"/>
    <w:rsid w:val="007E4C7F"/>
    <w:rsid w:val="007E5631"/>
    <w:rsid w:val="007E614B"/>
    <w:rsid w:val="007F047B"/>
    <w:rsid w:val="007F07AC"/>
    <w:rsid w:val="007F094C"/>
    <w:rsid w:val="007F1930"/>
    <w:rsid w:val="007F1C84"/>
    <w:rsid w:val="007F3587"/>
    <w:rsid w:val="007F3D65"/>
    <w:rsid w:val="007F458D"/>
    <w:rsid w:val="007F5057"/>
    <w:rsid w:val="007F59D0"/>
    <w:rsid w:val="007F5DF3"/>
    <w:rsid w:val="007F63DD"/>
    <w:rsid w:val="00800356"/>
    <w:rsid w:val="008008FE"/>
    <w:rsid w:val="00802B78"/>
    <w:rsid w:val="00802F0F"/>
    <w:rsid w:val="00803B8F"/>
    <w:rsid w:val="00803ED8"/>
    <w:rsid w:val="00803FEE"/>
    <w:rsid w:val="00804F0F"/>
    <w:rsid w:val="008052A3"/>
    <w:rsid w:val="008062E5"/>
    <w:rsid w:val="00806452"/>
    <w:rsid w:val="00810631"/>
    <w:rsid w:val="008108A2"/>
    <w:rsid w:val="00810C39"/>
    <w:rsid w:val="00810D60"/>
    <w:rsid w:val="008115C5"/>
    <w:rsid w:val="0081364C"/>
    <w:rsid w:val="0081386D"/>
    <w:rsid w:val="008146CD"/>
    <w:rsid w:val="00814B1C"/>
    <w:rsid w:val="00817243"/>
    <w:rsid w:val="008179CE"/>
    <w:rsid w:val="00820533"/>
    <w:rsid w:val="008205D4"/>
    <w:rsid w:val="00820A60"/>
    <w:rsid w:val="00822588"/>
    <w:rsid w:val="00822FCA"/>
    <w:rsid w:val="00823B0F"/>
    <w:rsid w:val="00824191"/>
    <w:rsid w:val="00824A1C"/>
    <w:rsid w:val="00824AC8"/>
    <w:rsid w:val="00826274"/>
    <w:rsid w:val="00826E56"/>
    <w:rsid w:val="0082756A"/>
    <w:rsid w:val="00830B56"/>
    <w:rsid w:val="00831398"/>
    <w:rsid w:val="00832FD9"/>
    <w:rsid w:val="00833DBE"/>
    <w:rsid w:val="00835A49"/>
    <w:rsid w:val="00836309"/>
    <w:rsid w:val="00836925"/>
    <w:rsid w:val="00840BC5"/>
    <w:rsid w:val="00841C86"/>
    <w:rsid w:val="00841F35"/>
    <w:rsid w:val="00842161"/>
    <w:rsid w:val="00844390"/>
    <w:rsid w:val="00847C4D"/>
    <w:rsid w:val="00851720"/>
    <w:rsid w:val="00851C4C"/>
    <w:rsid w:val="00853187"/>
    <w:rsid w:val="00853494"/>
    <w:rsid w:val="00853DEB"/>
    <w:rsid w:val="00853FF3"/>
    <w:rsid w:val="0086024C"/>
    <w:rsid w:val="008605BB"/>
    <w:rsid w:val="0086136D"/>
    <w:rsid w:val="008613D8"/>
    <w:rsid w:val="008615ED"/>
    <w:rsid w:val="0086179F"/>
    <w:rsid w:val="008622C4"/>
    <w:rsid w:val="00862B0B"/>
    <w:rsid w:val="008632CF"/>
    <w:rsid w:val="00865043"/>
    <w:rsid w:val="00866ABD"/>
    <w:rsid w:val="00867B58"/>
    <w:rsid w:val="00870F55"/>
    <w:rsid w:val="00871098"/>
    <w:rsid w:val="00871538"/>
    <w:rsid w:val="0087280E"/>
    <w:rsid w:val="00874E0F"/>
    <w:rsid w:val="00874F74"/>
    <w:rsid w:val="0087561B"/>
    <w:rsid w:val="008777C5"/>
    <w:rsid w:val="00880A9D"/>
    <w:rsid w:val="0088151D"/>
    <w:rsid w:val="00881E35"/>
    <w:rsid w:val="008873A6"/>
    <w:rsid w:val="0089008D"/>
    <w:rsid w:val="00896041"/>
    <w:rsid w:val="008974E4"/>
    <w:rsid w:val="008A10D6"/>
    <w:rsid w:val="008A2209"/>
    <w:rsid w:val="008A2D72"/>
    <w:rsid w:val="008A370F"/>
    <w:rsid w:val="008A578E"/>
    <w:rsid w:val="008A7D3D"/>
    <w:rsid w:val="008B0E89"/>
    <w:rsid w:val="008B1781"/>
    <w:rsid w:val="008B23CB"/>
    <w:rsid w:val="008B4468"/>
    <w:rsid w:val="008B4875"/>
    <w:rsid w:val="008B5DAC"/>
    <w:rsid w:val="008B798C"/>
    <w:rsid w:val="008C1494"/>
    <w:rsid w:val="008C14FC"/>
    <w:rsid w:val="008C28CE"/>
    <w:rsid w:val="008C2955"/>
    <w:rsid w:val="008C2A94"/>
    <w:rsid w:val="008C498F"/>
    <w:rsid w:val="008C5E6B"/>
    <w:rsid w:val="008D0E1D"/>
    <w:rsid w:val="008D183D"/>
    <w:rsid w:val="008D49C5"/>
    <w:rsid w:val="008D576F"/>
    <w:rsid w:val="008D5F6B"/>
    <w:rsid w:val="008D66CF"/>
    <w:rsid w:val="008D68E0"/>
    <w:rsid w:val="008D6B53"/>
    <w:rsid w:val="008D79E1"/>
    <w:rsid w:val="008E0070"/>
    <w:rsid w:val="008E2B0B"/>
    <w:rsid w:val="008E2C96"/>
    <w:rsid w:val="008E2F47"/>
    <w:rsid w:val="008E6119"/>
    <w:rsid w:val="008E68B6"/>
    <w:rsid w:val="008E70C3"/>
    <w:rsid w:val="008E70F6"/>
    <w:rsid w:val="008F104A"/>
    <w:rsid w:val="008F1241"/>
    <w:rsid w:val="008F30B2"/>
    <w:rsid w:val="008F451F"/>
    <w:rsid w:val="008F67B0"/>
    <w:rsid w:val="008F77F5"/>
    <w:rsid w:val="00901D4E"/>
    <w:rsid w:val="009030E4"/>
    <w:rsid w:val="00903189"/>
    <w:rsid w:val="009037A0"/>
    <w:rsid w:val="00903977"/>
    <w:rsid w:val="009042BE"/>
    <w:rsid w:val="009059A8"/>
    <w:rsid w:val="0090617F"/>
    <w:rsid w:val="00913853"/>
    <w:rsid w:val="009148C4"/>
    <w:rsid w:val="00915735"/>
    <w:rsid w:val="00915B26"/>
    <w:rsid w:val="009179DD"/>
    <w:rsid w:val="00921FBA"/>
    <w:rsid w:val="00923368"/>
    <w:rsid w:val="00923BD9"/>
    <w:rsid w:val="009241E7"/>
    <w:rsid w:val="00925425"/>
    <w:rsid w:val="009270D5"/>
    <w:rsid w:val="009300DC"/>
    <w:rsid w:val="00930B66"/>
    <w:rsid w:val="00931911"/>
    <w:rsid w:val="009319BF"/>
    <w:rsid w:val="0093349A"/>
    <w:rsid w:val="00933901"/>
    <w:rsid w:val="00933FB3"/>
    <w:rsid w:val="009348EC"/>
    <w:rsid w:val="00935552"/>
    <w:rsid w:val="00936404"/>
    <w:rsid w:val="009400DF"/>
    <w:rsid w:val="0094015C"/>
    <w:rsid w:val="0094122C"/>
    <w:rsid w:val="00943431"/>
    <w:rsid w:val="0094725E"/>
    <w:rsid w:val="0094736F"/>
    <w:rsid w:val="009516F1"/>
    <w:rsid w:val="0095275C"/>
    <w:rsid w:val="00953011"/>
    <w:rsid w:val="00954B2E"/>
    <w:rsid w:val="00954BD2"/>
    <w:rsid w:val="00954EA2"/>
    <w:rsid w:val="00955AB4"/>
    <w:rsid w:val="009615AF"/>
    <w:rsid w:val="00961BDF"/>
    <w:rsid w:val="0096219A"/>
    <w:rsid w:val="00962453"/>
    <w:rsid w:val="009624F0"/>
    <w:rsid w:val="00962EC2"/>
    <w:rsid w:val="00963D61"/>
    <w:rsid w:val="00964B8B"/>
    <w:rsid w:val="00965AF3"/>
    <w:rsid w:val="00967224"/>
    <w:rsid w:val="0096758F"/>
    <w:rsid w:val="00967791"/>
    <w:rsid w:val="00967B13"/>
    <w:rsid w:val="00971B5F"/>
    <w:rsid w:val="009723B9"/>
    <w:rsid w:val="00972965"/>
    <w:rsid w:val="00972A51"/>
    <w:rsid w:val="00972F3B"/>
    <w:rsid w:val="009744A4"/>
    <w:rsid w:val="009766BA"/>
    <w:rsid w:val="00976A6D"/>
    <w:rsid w:val="009777B6"/>
    <w:rsid w:val="0098201C"/>
    <w:rsid w:val="00983601"/>
    <w:rsid w:val="009836BD"/>
    <w:rsid w:val="00984FD1"/>
    <w:rsid w:val="00985737"/>
    <w:rsid w:val="0098580E"/>
    <w:rsid w:val="00985D6F"/>
    <w:rsid w:val="00986147"/>
    <w:rsid w:val="009861B2"/>
    <w:rsid w:val="00986BF5"/>
    <w:rsid w:val="00990CC9"/>
    <w:rsid w:val="00990F7A"/>
    <w:rsid w:val="0099189E"/>
    <w:rsid w:val="009920BF"/>
    <w:rsid w:val="009923F2"/>
    <w:rsid w:val="0099421D"/>
    <w:rsid w:val="009978A9"/>
    <w:rsid w:val="00997DBA"/>
    <w:rsid w:val="009A0AD0"/>
    <w:rsid w:val="009A0C6B"/>
    <w:rsid w:val="009A0E8E"/>
    <w:rsid w:val="009A0F4D"/>
    <w:rsid w:val="009A1046"/>
    <w:rsid w:val="009A24B4"/>
    <w:rsid w:val="009A397F"/>
    <w:rsid w:val="009A3C03"/>
    <w:rsid w:val="009A50E3"/>
    <w:rsid w:val="009A53BC"/>
    <w:rsid w:val="009B6D9C"/>
    <w:rsid w:val="009B7849"/>
    <w:rsid w:val="009B79D1"/>
    <w:rsid w:val="009B7F64"/>
    <w:rsid w:val="009C030A"/>
    <w:rsid w:val="009C1517"/>
    <w:rsid w:val="009C1967"/>
    <w:rsid w:val="009C3250"/>
    <w:rsid w:val="009C43FF"/>
    <w:rsid w:val="009C590C"/>
    <w:rsid w:val="009C5E01"/>
    <w:rsid w:val="009C60E3"/>
    <w:rsid w:val="009C61E1"/>
    <w:rsid w:val="009C642F"/>
    <w:rsid w:val="009C6557"/>
    <w:rsid w:val="009C71C9"/>
    <w:rsid w:val="009C7F08"/>
    <w:rsid w:val="009D0030"/>
    <w:rsid w:val="009D02CB"/>
    <w:rsid w:val="009D0666"/>
    <w:rsid w:val="009D0DB0"/>
    <w:rsid w:val="009D2972"/>
    <w:rsid w:val="009D3244"/>
    <w:rsid w:val="009D47AC"/>
    <w:rsid w:val="009E14A3"/>
    <w:rsid w:val="009E1946"/>
    <w:rsid w:val="009E1C98"/>
    <w:rsid w:val="009E1F29"/>
    <w:rsid w:val="009E2535"/>
    <w:rsid w:val="009E26ED"/>
    <w:rsid w:val="009E2AE0"/>
    <w:rsid w:val="009E308A"/>
    <w:rsid w:val="009E3ACF"/>
    <w:rsid w:val="009E4B27"/>
    <w:rsid w:val="009E67C0"/>
    <w:rsid w:val="009E6B99"/>
    <w:rsid w:val="009F2070"/>
    <w:rsid w:val="009F2197"/>
    <w:rsid w:val="009F2DFF"/>
    <w:rsid w:val="009F3C45"/>
    <w:rsid w:val="009F3DA3"/>
    <w:rsid w:val="009F5CA2"/>
    <w:rsid w:val="009F6561"/>
    <w:rsid w:val="009F6E6E"/>
    <w:rsid w:val="00A0041E"/>
    <w:rsid w:val="00A01BCC"/>
    <w:rsid w:val="00A02405"/>
    <w:rsid w:val="00A02974"/>
    <w:rsid w:val="00A04183"/>
    <w:rsid w:val="00A0629B"/>
    <w:rsid w:val="00A063C6"/>
    <w:rsid w:val="00A10FA4"/>
    <w:rsid w:val="00A1114B"/>
    <w:rsid w:val="00A11658"/>
    <w:rsid w:val="00A11D74"/>
    <w:rsid w:val="00A1217D"/>
    <w:rsid w:val="00A12738"/>
    <w:rsid w:val="00A13DBA"/>
    <w:rsid w:val="00A15140"/>
    <w:rsid w:val="00A157FD"/>
    <w:rsid w:val="00A162E0"/>
    <w:rsid w:val="00A1691C"/>
    <w:rsid w:val="00A17889"/>
    <w:rsid w:val="00A225E8"/>
    <w:rsid w:val="00A22968"/>
    <w:rsid w:val="00A2377D"/>
    <w:rsid w:val="00A24293"/>
    <w:rsid w:val="00A26E1D"/>
    <w:rsid w:val="00A274D0"/>
    <w:rsid w:val="00A27B7F"/>
    <w:rsid w:val="00A27CEE"/>
    <w:rsid w:val="00A30A43"/>
    <w:rsid w:val="00A30ACC"/>
    <w:rsid w:val="00A32398"/>
    <w:rsid w:val="00A34B57"/>
    <w:rsid w:val="00A36B29"/>
    <w:rsid w:val="00A42DD4"/>
    <w:rsid w:val="00A435D3"/>
    <w:rsid w:val="00A43CFB"/>
    <w:rsid w:val="00A46E7D"/>
    <w:rsid w:val="00A47F6E"/>
    <w:rsid w:val="00A5180C"/>
    <w:rsid w:val="00A52B62"/>
    <w:rsid w:val="00A5447B"/>
    <w:rsid w:val="00A54538"/>
    <w:rsid w:val="00A54F4A"/>
    <w:rsid w:val="00A55044"/>
    <w:rsid w:val="00A57848"/>
    <w:rsid w:val="00A60503"/>
    <w:rsid w:val="00A627B0"/>
    <w:rsid w:val="00A62807"/>
    <w:rsid w:val="00A62937"/>
    <w:rsid w:val="00A6329E"/>
    <w:rsid w:val="00A63740"/>
    <w:rsid w:val="00A64E93"/>
    <w:rsid w:val="00A65BAC"/>
    <w:rsid w:val="00A65F9E"/>
    <w:rsid w:val="00A67979"/>
    <w:rsid w:val="00A726EF"/>
    <w:rsid w:val="00A73802"/>
    <w:rsid w:val="00A739CB"/>
    <w:rsid w:val="00A75218"/>
    <w:rsid w:val="00A806D5"/>
    <w:rsid w:val="00A81372"/>
    <w:rsid w:val="00A81E7E"/>
    <w:rsid w:val="00A8305C"/>
    <w:rsid w:val="00A83798"/>
    <w:rsid w:val="00A8403D"/>
    <w:rsid w:val="00A85A2E"/>
    <w:rsid w:val="00A85E89"/>
    <w:rsid w:val="00A8663C"/>
    <w:rsid w:val="00A86947"/>
    <w:rsid w:val="00A86B75"/>
    <w:rsid w:val="00A86F8E"/>
    <w:rsid w:val="00A87CFE"/>
    <w:rsid w:val="00A87F6D"/>
    <w:rsid w:val="00A90419"/>
    <w:rsid w:val="00A90443"/>
    <w:rsid w:val="00A9462A"/>
    <w:rsid w:val="00A97374"/>
    <w:rsid w:val="00AA0CBD"/>
    <w:rsid w:val="00AA1D11"/>
    <w:rsid w:val="00AA2996"/>
    <w:rsid w:val="00AA2D1E"/>
    <w:rsid w:val="00AA33A2"/>
    <w:rsid w:val="00AA3E91"/>
    <w:rsid w:val="00AA3FB3"/>
    <w:rsid w:val="00AA545A"/>
    <w:rsid w:val="00AA6803"/>
    <w:rsid w:val="00AA6831"/>
    <w:rsid w:val="00AB063D"/>
    <w:rsid w:val="00AB1CC4"/>
    <w:rsid w:val="00AB22B1"/>
    <w:rsid w:val="00AB3697"/>
    <w:rsid w:val="00AB3F42"/>
    <w:rsid w:val="00AB5708"/>
    <w:rsid w:val="00AB5BDE"/>
    <w:rsid w:val="00AB6A50"/>
    <w:rsid w:val="00AB72FC"/>
    <w:rsid w:val="00AB7894"/>
    <w:rsid w:val="00AB7A99"/>
    <w:rsid w:val="00AB7CD2"/>
    <w:rsid w:val="00AC2366"/>
    <w:rsid w:val="00AC305E"/>
    <w:rsid w:val="00AC3FA5"/>
    <w:rsid w:val="00AC4055"/>
    <w:rsid w:val="00AC4786"/>
    <w:rsid w:val="00AC4E4E"/>
    <w:rsid w:val="00AC4F41"/>
    <w:rsid w:val="00AC5DCC"/>
    <w:rsid w:val="00AC63CE"/>
    <w:rsid w:val="00AC73D0"/>
    <w:rsid w:val="00AC7E51"/>
    <w:rsid w:val="00AD0751"/>
    <w:rsid w:val="00AD14AE"/>
    <w:rsid w:val="00AD22F6"/>
    <w:rsid w:val="00AD26ED"/>
    <w:rsid w:val="00AD32DA"/>
    <w:rsid w:val="00AD3E6C"/>
    <w:rsid w:val="00AD670D"/>
    <w:rsid w:val="00AD6F1F"/>
    <w:rsid w:val="00AD7139"/>
    <w:rsid w:val="00AE252F"/>
    <w:rsid w:val="00AE2A50"/>
    <w:rsid w:val="00AE2B17"/>
    <w:rsid w:val="00AE304A"/>
    <w:rsid w:val="00AE3389"/>
    <w:rsid w:val="00AE5675"/>
    <w:rsid w:val="00AE6EA6"/>
    <w:rsid w:val="00AF1E24"/>
    <w:rsid w:val="00AF1EC6"/>
    <w:rsid w:val="00AF23F3"/>
    <w:rsid w:val="00AF249C"/>
    <w:rsid w:val="00AF25A5"/>
    <w:rsid w:val="00AF3B10"/>
    <w:rsid w:val="00AF660C"/>
    <w:rsid w:val="00AF699D"/>
    <w:rsid w:val="00AF734B"/>
    <w:rsid w:val="00B00487"/>
    <w:rsid w:val="00B0048B"/>
    <w:rsid w:val="00B0110F"/>
    <w:rsid w:val="00B024F4"/>
    <w:rsid w:val="00B02807"/>
    <w:rsid w:val="00B031BE"/>
    <w:rsid w:val="00B03847"/>
    <w:rsid w:val="00B0480E"/>
    <w:rsid w:val="00B04917"/>
    <w:rsid w:val="00B05533"/>
    <w:rsid w:val="00B05BDA"/>
    <w:rsid w:val="00B0730A"/>
    <w:rsid w:val="00B10A08"/>
    <w:rsid w:val="00B12AD9"/>
    <w:rsid w:val="00B12AE1"/>
    <w:rsid w:val="00B15BA6"/>
    <w:rsid w:val="00B15BB4"/>
    <w:rsid w:val="00B15BE8"/>
    <w:rsid w:val="00B17920"/>
    <w:rsid w:val="00B20B82"/>
    <w:rsid w:val="00B22106"/>
    <w:rsid w:val="00B225FD"/>
    <w:rsid w:val="00B22FED"/>
    <w:rsid w:val="00B23FE1"/>
    <w:rsid w:val="00B2500C"/>
    <w:rsid w:val="00B25334"/>
    <w:rsid w:val="00B34FB5"/>
    <w:rsid w:val="00B3595B"/>
    <w:rsid w:val="00B36FC4"/>
    <w:rsid w:val="00B37AA1"/>
    <w:rsid w:val="00B40B8F"/>
    <w:rsid w:val="00B40D4D"/>
    <w:rsid w:val="00B410E9"/>
    <w:rsid w:val="00B41556"/>
    <w:rsid w:val="00B41B78"/>
    <w:rsid w:val="00B42106"/>
    <w:rsid w:val="00B421EA"/>
    <w:rsid w:val="00B433E3"/>
    <w:rsid w:val="00B438C4"/>
    <w:rsid w:val="00B43BF2"/>
    <w:rsid w:val="00B43D7B"/>
    <w:rsid w:val="00B4426C"/>
    <w:rsid w:val="00B44D0E"/>
    <w:rsid w:val="00B4756D"/>
    <w:rsid w:val="00B5186A"/>
    <w:rsid w:val="00B51AF6"/>
    <w:rsid w:val="00B54132"/>
    <w:rsid w:val="00B5457F"/>
    <w:rsid w:val="00B54918"/>
    <w:rsid w:val="00B551CC"/>
    <w:rsid w:val="00B55316"/>
    <w:rsid w:val="00B5591E"/>
    <w:rsid w:val="00B55C8F"/>
    <w:rsid w:val="00B55DB0"/>
    <w:rsid w:val="00B55FC0"/>
    <w:rsid w:val="00B617C5"/>
    <w:rsid w:val="00B61A10"/>
    <w:rsid w:val="00B62DFD"/>
    <w:rsid w:val="00B63057"/>
    <w:rsid w:val="00B64451"/>
    <w:rsid w:val="00B645DB"/>
    <w:rsid w:val="00B675E0"/>
    <w:rsid w:val="00B70F8B"/>
    <w:rsid w:val="00B7209D"/>
    <w:rsid w:val="00B725C1"/>
    <w:rsid w:val="00B73E87"/>
    <w:rsid w:val="00B7400F"/>
    <w:rsid w:val="00B7419D"/>
    <w:rsid w:val="00B749E4"/>
    <w:rsid w:val="00B7530B"/>
    <w:rsid w:val="00B77678"/>
    <w:rsid w:val="00B77E06"/>
    <w:rsid w:val="00B807E7"/>
    <w:rsid w:val="00B81097"/>
    <w:rsid w:val="00B810A2"/>
    <w:rsid w:val="00B814C4"/>
    <w:rsid w:val="00B81BB8"/>
    <w:rsid w:val="00B827FF"/>
    <w:rsid w:val="00B858EC"/>
    <w:rsid w:val="00B87154"/>
    <w:rsid w:val="00B875F2"/>
    <w:rsid w:val="00B90B28"/>
    <w:rsid w:val="00B919DA"/>
    <w:rsid w:val="00B91F68"/>
    <w:rsid w:val="00B93E79"/>
    <w:rsid w:val="00B9414B"/>
    <w:rsid w:val="00B95ECE"/>
    <w:rsid w:val="00B9624F"/>
    <w:rsid w:val="00B974C7"/>
    <w:rsid w:val="00B97759"/>
    <w:rsid w:val="00B97AC8"/>
    <w:rsid w:val="00BA3278"/>
    <w:rsid w:val="00BA3EFE"/>
    <w:rsid w:val="00BA4CC3"/>
    <w:rsid w:val="00BA7AB7"/>
    <w:rsid w:val="00BB0233"/>
    <w:rsid w:val="00BB06AB"/>
    <w:rsid w:val="00BB0976"/>
    <w:rsid w:val="00BB0DAA"/>
    <w:rsid w:val="00BB23DD"/>
    <w:rsid w:val="00BB2FAD"/>
    <w:rsid w:val="00BB4831"/>
    <w:rsid w:val="00BB5143"/>
    <w:rsid w:val="00BB570D"/>
    <w:rsid w:val="00BC1BEC"/>
    <w:rsid w:val="00BC1EAE"/>
    <w:rsid w:val="00BC2443"/>
    <w:rsid w:val="00BC3103"/>
    <w:rsid w:val="00BC3408"/>
    <w:rsid w:val="00BC5B3B"/>
    <w:rsid w:val="00BC5E57"/>
    <w:rsid w:val="00BC6A18"/>
    <w:rsid w:val="00BD0712"/>
    <w:rsid w:val="00BD0B7A"/>
    <w:rsid w:val="00BD1CDE"/>
    <w:rsid w:val="00BD29E9"/>
    <w:rsid w:val="00BD2E03"/>
    <w:rsid w:val="00BD3278"/>
    <w:rsid w:val="00BD3A80"/>
    <w:rsid w:val="00BD40E6"/>
    <w:rsid w:val="00BD5355"/>
    <w:rsid w:val="00BE2735"/>
    <w:rsid w:val="00BE3020"/>
    <w:rsid w:val="00BE40B0"/>
    <w:rsid w:val="00BE4D20"/>
    <w:rsid w:val="00BE4EB4"/>
    <w:rsid w:val="00BE5378"/>
    <w:rsid w:val="00BE6622"/>
    <w:rsid w:val="00BE72B3"/>
    <w:rsid w:val="00BF14D1"/>
    <w:rsid w:val="00BF1871"/>
    <w:rsid w:val="00BF18BA"/>
    <w:rsid w:val="00BF24CB"/>
    <w:rsid w:val="00BF3B71"/>
    <w:rsid w:val="00BF4050"/>
    <w:rsid w:val="00BF6783"/>
    <w:rsid w:val="00BF68A0"/>
    <w:rsid w:val="00BF68AB"/>
    <w:rsid w:val="00BF7C1F"/>
    <w:rsid w:val="00BF7CFE"/>
    <w:rsid w:val="00C000D7"/>
    <w:rsid w:val="00C00154"/>
    <w:rsid w:val="00C00A79"/>
    <w:rsid w:val="00C0207B"/>
    <w:rsid w:val="00C04E1E"/>
    <w:rsid w:val="00C055EF"/>
    <w:rsid w:val="00C05682"/>
    <w:rsid w:val="00C06659"/>
    <w:rsid w:val="00C07AD8"/>
    <w:rsid w:val="00C106E6"/>
    <w:rsid w:val="00C14975"/>
    <w:rsid w:val="00C152E3"/>
    <w:rsid w:val="00C1568C"/>
    <w:rsid w:val="00C1795D"/>
    <w:rsid w:val="00C17A93"/>
    <w:rsid w:val="00C203C7"/>
    <w:rsid w:val="00C204AA"/>
    <w:rsid w:val="00C220BA"/>
    <w:rsid w:val="00C226EB"/>
    <w:rsid w:val="00C25051"/>
    <w:rsid w:val="00C25708"/>
    <w:rsid w:val="00C3242C"/>
    <w:rsid w:val="00C358B9"/>
    <w:rsid w:val="00C361A5"/>
    <w:rsid w:val="00C36730"/>
    <w:rsid w:val="00C36AA9"/>
    <w:rsid w:val="00C36ABA"/>
    <w:rsid w:val="00C40040"/>
    <w:rsid w:val="00C42485"/>
    <w:rsid w:val="00C4288C"/>
    <w:rsid w:val="00C436D0"/>
    <w:rsid w:val="00C44315"/>
    <w:rsid w:val="00C44A9B"/>
    <w:rsid w:val="00C452E3"/>
    <w:rsid w:val="00C454AC"/>
    <w:rsid w:val="00C46AB7"/>
    <w:rsid w:val="00C47658"/>
    <w:rsid w:val="00C47A7C"/>
    <w:rsid w:val="00C51FED"/>
    <w:rsid w:val="00C52490"/>
    <w:rsid w:val="00C52655"/>
    <w:rsid w:val="00C533CC"/>
    <w:rsid w:val="00C540CD"/>
    <w:rsid w:val="00C54461"/>
    <w:rsid w:val="00C55424"/>
    <w:rsid w:val="00C55563"/>
    <w:rsid w:val="00C55B9B"/>
    <w:rsid w:val="00C57785"/>
    <w:rsid w:val="00C57C10"/>
    <w:rsid w:val="00C60758"/>
    <w:rsid w:val="00C60BDD"/>
    <w:rsid w:val="00C61ED2"/>
    <w:rsid w:val="00C625F8"/>
    <w:rsid w:val="00C636F3"/>
    <w:rsid w:val="00C65C99"/>
    <w:rsid w:val="00C65FBA"/>
    <w:rsid w:val="00C66992"/>
    <w:rsid w:val="00C66D6B"/>
    <w:rsid w:val="00C70B53"/>
    <w:rsid w:val="00C70DCE"/>
    <w:rsid w:val="00C721B4"/>
    <w:rsid w:val="00C724E0"/>
    <w:rsid w:val="00C73054"/>
    <w:rsid w:val="00C73D07"/>
    <w:rsid w:val="00C73D87"/>
    <w:rsid w:val="00C741D7"/>
    <w:rsid w:val="00C769BD"/>
    <w:rsid w:val="00C77049"/>
    <w:rsid w:val="00C77976"/>
    <w:rsid w:val="00C80008"/>
    <w:rsid w:val="00C817D1"/>
    <w:rsid w:val="00C81C06"/>
    <w:rsid w:val="00C82207"/>
    <w:rsid w:val="00C82CD4"/>
    <w:rsid w:val="00C83601"/>
    <w:rsid w:val="00C84D47"/>
    <w:rsid w:val="00C860BC"/>
    <w:rsid w:val="00C865D7"/>
    <w:rsid w:val="00C87D1C"/>
    <w:rsid w:val="00C9076A"/>
    <w:rsid w:val="00C91588"/>
    <w:rsid w:val="00C91E29"/>
    <w:rsid w:val="00C92699"/>
    <w:rsid w:val="00C95D5A"/>
    <w:rsid w:val="00CA4CAB"/>
    <w:rsid w:val="00CA4CD4"/>
    <w:rsid w:val="00CA5C10"/>
    <w:rsid w:val="00CA6644"/>
    <w:rsid w:val="00CA6E2D"/>
    <w:rsid w:val="00CA7A4F"/>
    <w:rsid w:val="00CB254D"/>
    <w:rsid w:val="00CB2DCC"/>
    <w:rsid w:val="00CB33E6"/>
    <w:rsid w:val="00CB5569"/>
    <w:rsid w:val="00CB5A31"/>
    <w:rsid w:val="00CC0423"/>
    <w:rsid w:val="00CC153A"/>
    <w:rsid w:val="00CC153C"/>
    <w:rsid w:val="00CC1D7D"/>
    <w:rsid w:val="00CC27DE"/>
    <w:rsid w:val="00CC419B"/>
    <w:rsid w:val="00CC4883"/>
    <w:rsid w:val="00CC5BA7"/>
    <w:rsid w:val="00CC5E68"/>
    <w:rsid w:val="00CC5F26"/>
    <w:rsid w:val="00CC61B9"/>
    <w:rsid w:val="00CC6415"/>
    <w:rsid w:val="00CC77CC"/>
    <w:rsid w:val="00CC79D2"/>
    <w:rsid w:val="00CD1162"/>
    <w:rsid w:val="00CD1976"/>
    <w:rsid w:val="00CD2CE8"/>
    <w:rsid w:val="00CD38A6"/>
    <w:rsid w:val="00CD38BC"/>
    <w:rsid w:val="00CD3E1B"/>
    <w:rsid w:val="00CD5E85"/>
    <w:rsid w:val="00CD68ED"/>
    <w:rsid w:val="00CD73A3"/>
    <w:rsid w:val="00CD73BB"/>
    <w:rsid w:val="00CE00C8"/>
    <w:rsid w:val="00CE15C9"/>
    <w:rsid w:val="00CE35BF"/>
    <w:rsid w:val="00CE37F2"/>
    <w:rsid w:val="00CE47D8"/>
    <w:rsid w:val="00CE5AC6"/>
    <w:rsid w:val="00CE63F3"/>
    <w:rsid w:val="00CE7AAD"/>
    <w:rsid w:val="00CF1AE0"/>
    <w:rsid w:val="00CF1D57"/>
    <w:rsid w:val="00CF392D"/>
    <w:rsid w:val="00CF4105"/>
    <w:rsid w:val="00CF4F7C"/>
    <w:rsid w:val="00CF602E"/>
    <w:rsid w:val="00CF7A3E"/>
    <w:rsid w:val="00D004B1"/>
    <w:rsid w:val="00D0099C"/>
    <w:rsid w:val="00D01886"/>
    <w:rsid w:val="00D02B82"/>
    <w:rsid w:val="00D039E9"/>
    <w:rsid w:val="00D04BF8"/>
    <w:rsid w:val="00D04C8A"/>
    <w:rsid w:val="00D050F8"/>
    <w:rsid w:val="00D055B6"/>
    <w:rsid w:val="00D05E53"/>
    <w:rsid w:val="00D06093"/>
    <w:rsid w:val="00D07FFA"/>
    <w:rsid w:val="00D10B76"/>
    <w:rsid w:val="00D10DDF"/>
    <w:rsid w:val="00D11772"/>
    <w:rsid w:val="00D11D8E"/>
    <w:rsid w:val="00D12198"/>
    <w:rsid w:val="00D128E1"/>
    <w:rsid w:val="00D132B9"/>
    <w:rsid w:val="00D147BF"/>
    <w:rsid w:val="00D16B34"/>
    <w:rsid w:val="00D212EF"/>
    <w:rsid w:val="00D24631"/>
    <w:rsid w:val="00D24D22"/>
    <w:rsid w:val="00D250A6"/>
    <w:rsid w:val="00D2512D"/>
    <w:rsid w:val="00D25366"/>
    <w:rsid w:val="00D253DB"/>
    <w:rsid w:val="00D27683"/>
    <w:rsid w:val="00D304F4"/>
    <w:rsid w:val="00D3153B"/>
    <w:rsid w:val="00D31D34"/>
    <w:rsid w:val="00D31DB5"/>
    <w:rsid w:val="00D329F9"/>
    <w:rsid w:val="00D331B0"/>
    <w:rsid w:val="00D33C72"/>
    <w:rsid w:val="00D346EF"/>
    <w:rsid w:val="00D34FD7"/>
    <w:rsid w:val="00D357E0"/>
    <w:rsid w:val="00D370D9"/>
    <w:rsid w:val="00D372EA"/>
    <w:rsid w:val="00D40109"/>
    <w:rsid w:val="00D40598"/>
    <w:rsid w:val="00D41267"/>
    <w:rsid w:val="00D41FBF"/>
    <w:rsid w:val="00D430C5"/>
    <w:rsid w:val="00D432D7"/>
    <w:rsid w:val="00D432FB"/>
    <w:rsid w:val="00D43DAC"/>
    <w:rsid w:val="00D4724C"/>
    <w:rsid w:val="00D47BC3"/>
    <w:rsid w:val="00D47F75"/>
    <w:rsid w:val="00D500B5"/>
    <w:rsid w:val="00D50231"/>
    <w:rsid w:val="00D50B9E"/>
    <w:rsid w:val="00D5417D"/>
    <w:rsid w:val="00D54197"/>
    <w:rsid w:val="00D546CF"/>
    <w:rsid w:val="00D54EB6"/>
    <w:rsid w:val="00D55483"/>
    <w:rsid w:val="00D569DA"/>
    <w:rsid w:val="00D57040"/>
    <w:rsid w:val="00D57C90"/>
    <w:rsid w:val="00D57FC6"/>
    <w:rsid w:val="00D61002"/>
    <w:rsid w:val="00D62D27"/>
    <w:rsid w:val="00D62F97"/>
    <w:rsid w:val="00D64430"/>
    <w:rsid w:val="00D66E54"/>
    <w:rsid w:val="00D67168"/>
    <w:rsid w:val="00D70580"/>
    <w:rsid w:val="00D705BB"/>
    <w:rsid w:val="00D711A6"/>
    <w:rsid w:val="00D7149A"/>
    <w:rsid w:val="00D719ED"/>
    <w:rsid w:val="00D72727"/>
    <w:rsid w:val="00D72E5F"/>
    <w:rsid w:val="00D7335F"/>
    <w:rsid w:val="00D73C15"/>
    <w:rsid w:val="00D77E82"/>
    <w:rsid w:val="00D80060"/>
    <w:rsid w:val="00D8009A"/>
    <w:rsid w:val="00D8019F"/>
    <w:rsid w:val="00D80825"/>
    <w:rsid w:val="00D8140A"/>
    <w:rsid w:val="00D81515"/>
    <w:rsid w:val="00D81786"/>
    <w:rsid w:val="00D819C6"/>
    <w:rsid w:val="00D81D5C"/>
    <w:rsid w:val="00D82392"/>
    <w:rsid w:val="00D82AB8"/>
    <w:rsid w:val="00D840A7"/>
    <w:rsid w:val="00D90C2C"/>
    <w:rsid w:val="00D91785"/>
    <w:rsid w:val="00D9316C"/>
    <w:rsid w:val="00D947A5"/>
    <w:rsid w:val="00D950D4"/>
    <w:rsid w:val="00D96E5B"/>
    <w:rsid w:val="00D96EFD"/>
    <w:rsid w:val="00D973B1"/>
    <w:rsid w:val="00D97A6F"/>
    <w:rsid w:val="00D97C6C"/>
    <w:rsid w:val="00DA0423"/>
    <w:rsid w:val="00DA1371"/>
    <w:rsid w:val="00DA4017"/>
    <w:rsid w:val="00DA431A"/>
    <w:rsid w:val="00DA4703"/>
    <w:rsid w:val="00DA56A0"/>
    <w:rsid w:val="00DA7E98"/>
    <w:rsid w:val="00DB04D3"/>
    <w:rsid w:val="00DB34A8"/>
    <w:rsid w:val="00DB5652"/>
    <w:rsid w:val="00DB58E6"/>
    <w:rsid w:val="00DB5A51"/>
    <w:rsid w:val="00DB5DC2"/>
    <w:rsid w:val="00DB74C0"/>
    <w:rsid w:val="00DB7622"/>
    <w:rsid w:val="00DB77F8"/>
    <w:rsid w:val="00DC1993"/>
    <w:rsid w:val="00DC34FC"/>
    <w:rsid w:val="00DC44D4"/>
    <w:rsid w:val="00DC4542"/>
    <w:rsid w:val="00DC4C41"/>
    <w:rsid w:val="00DC563D"/>
    <w:rsid w:val="00DC5BED"/>
    <w:rsid w:val="00DC5DFD"/>
    <w:rsid w:val="00DC6F46"/>
    <w:rsid w:val="00DC71C7"/>
    <w:rsid w:val="00DC7C15"/>
    <w:rsid w:val="00DC7D13"/>
    <w:rsid w:val="00DD06C8"/>
    <w:rsid w:val="00DD2117"/>
    <w:rsid w:val="00DD478B"/>
    <w:rsid w:val="00DD53DD"/>
    <w:rsid w:val="00DD7096"/>
    <w:rsid w:val="00DD7861"/>
    <w:rsid w:val="00DE035C"/>
    <w:rsid w:val="00DE08F4"/>
    <w:rsid w:val="00DE1D81"/>
    <w:rsid w:val="00DE2B01"/>
    <w:rsid w:val="00DE430E"/>
    <w:rsid w:val="00DE451C"/>
    <w:rsid w:val="00DE5B4C"/>
    <w:rsid w:val="00DE5DE6"/>
    <w:rsid w:val="00DF007A"/>
    <w:rsid w:val="00DF12D9"/>
    <w:rsid w:val="00DF153C"/>
    <w:rsid w:val="00DF1D88"/>
    <w:rsid w:val="00DF4051"/>
    <w:rsid w:val="00DF4EAE"/>
    <w:rsid w:val="00DF6841"/>
    <w:rsid w:val="00DF7707"/>
    <w:rsid w:val="00E00B8F"/>
    <w:rsid w:val="00E01D0C"/>
    <w:rsid w:val="00E02DAE"/>
    <w:rsid w:val="00E031AA"/>
    <w:rsid w:val="00E034C9"/>
    <w:rsid w:val="00E03BCC"/>
    <w:rsid w:val="00E04370"/>
    <w:rsid w:val="00E0441E"/>
    <w:rsid w:val="00E044EB"/>
    <w:rsid w:val="00E04DFA"/>
    <w:rsid w:val="00E06ABF"/>
    <w:rsid w:val="00E07E2B"/>
    <w:rsid w:val="00E10154"/>
    <w:rsid w:val="00E11912"/>
    <w:rsid w:val="00E11AFD"/>
    <w:rsid w:val="00E12B85"/>
    <w:rsid w:val="00E13CE0"/>
    <w:rsid w:val="00E14AB2"/>
    <w:rsid w:val="00E14EF0"/>
    <w:rsid w:val="00E156C7"/>
    <w:rsid w:val="00E1582D"/>
    <w:rsid w:val="00E1736C"/>
    <w:rsid w:val="00E201A5"/>
    <w:rsid w:val="00E2076B"/>
    <w:rsid w:val="00E20E87"/>
    <w:rsid w:val="00E21081"/>
    <w:rsid w:val="00E21FD5"/>
    <w:rsid w:val="00E24B44"/>
    <w:rsid w:val="00E2754C"/>
    <w:rsid w:val="00E2782A"/>
    <w:rsid w:val="00E31CB4"/>
    <w:rsid w:val="00E31CBD"/>
    <w:rsid w:val="00E338CF"/>
    <w:rsid w:val="00E33CB9"/>
    <w:rsid w:val="00E349E1"/>
    <w:rsid w:val="00E362DA"/>
    <w:rsid w:val="00E36B90"/>
    <w:rsid w:val="00E36FCE"/>
    <w:rsid w:val="00E40939"/>
    <w:rsid w:val="00E4185D"/>
    <w:rsid w:val="00E41EFE"/>
    <w:rsid w:val="00E424B7"/>
    <w:rsid w:val="00E4355F"/>
    <w:rsid w:val="00E43645"/>
    <w:rsid w:val="00E43D58"/>
    <w:rsid w:val="00E44DE7"/>
    <w:rsid w:val="00E46893"/>
    <w:rsid w:val="00E46B95"/>
    <w:rsid w:val="00E46E83"/>
    <w:rsid w:val="00E47668"/>
    <w:rsid w:val="00E50F00"/>
    <w:rsid w:val="00E52C77"/>
    <w:rsid w:val="00E5429B"/>
    <w:rsid w:val="00E5443A"/>
    <w:rsid w:val="00E55F60"/>
    <w:rsid w:val="00E56209"/>
    <w:rsid w:val="00E56544"/>
    <w:rsid w:val="00E57BCC"/>
    <w:rsid w:val="00E57C95"/>
    <w:rsid w:val="00E603F2"/>
    <w:rsid w:val="00E6066B"/>
    <w:rsid w:val="00E6106D"/>
    <w:rsid w:val="00E611AC"/>
    <w:rsid w:val="00E63364"/>
    <w:rsid w:val="00E63AE1"/>
    <w:rsid w:val="00E6480B"/>
    <w:rsid w:val="00E648B0"/>
    <w:rsid w:val="00E6630F"/>
    <w:rsid w:val="00E6776A"/>
    <w:rsid w:val="00E706C3"/>
    <w:rsid w:val="00E706E2"/>
    <w:rsid w:val="00E7070A"/>
    <w:rsid w:val="00E720AC"/>
    <w:rsid w:val="00E73368"/>
    <w:rsid w:val="00E7437B"/>
    <w:rsid w:val="00E759BE"/>
    <w:rsid w:val="00E7601A"/>
    <w:rsid w:val="00E7692D"/>
    <w:rsid w:val="00E77401"/>
    <w:rsid w:val="00E81CBA"/>
    <w:rsid w:val="00E83CF2"/>
    <w:rsid w:val="00E86296"/>
    <w:rsid w:val="00E8678C"/>
    <w:rsid w:val="00E86ECE"/>
    <w:rsid w:val="00E9030E"/>
    <w:rsid w:val="00E90527"/>
    <w:rsid w:val="00E91AAA"/>
    <w:rsid w:val="00E93013"/>
    <w:rsid w:val="00E9360D"/>
    <w:rsid w:val="00E9405A"/>
    <w:rsid w:val="00E941D5"/>
    <w:rsid w:val="00E95ABB"/>
    <w:rsid w:val="00EA0000"/>
    <w:rsid w:val="00EA0197"/>
    <w:rsid w:val="00EA0214"/>
    <w:rsid w:val="00EA25FC"/>
    <w:rsid w:val="00EA271A"/>
    <w:rsid w:val="00EA28C3"/>
    <w:rsid w:val="00EA2ADB"/>
    <w:rsid w:val="00EA504D"/>
    <w:rsid w:val="00EA70B5"/>
    <w:rsid w:val="00EA7140"/>
    <w:rsid w:val="00EA785C"/>
    <w:rsid w:val="00EB01FB"/>
    <w:rsid w:val="00EB1BEE"/>
    <w:rsid w:val="00EB2B82"/>
    <w:rsid w:val="00EB5BFA"/>
    <w:rsid w:val="00EB61BE"/>
    <w:rsid w:val="00EB635D"/>
    <w:rsid w:val="00EB6466"/>
    <w:rsid w:val="00EC05D9"/>
    <w:rsid w:val="00EC11EA"/>
    <w:rsid w:val="00EC2743"/>
    <w:rsid w:val="00EC3AEC"/>
    <w:rsid w:val="00EC3B6E"/>
    <w:rsid w:val="00EC4AFF"/>
    <w:rsid w:val="00EC4C45"/>
    <w:rsid w:val="00EC4C96"/>
    <w:rsid w:val="00EC514E"/>
    <w:rsid w:val="00EC534F"/>
    <w:rsid w:val="00EC60A5"/>
    <w:rsid w:val="00EC7081"/>
    <w:rsid w:val="00ED0F3C"/>
    <w:rsid w:val="00ED176C"/>
    <w:rsid w:val="00ED1BAD"/>
    <w:rsid w:val="00ED1D02"/>
    <w:rsid w:val="00ED1FB1"/>
    <w:rsid w:val="00ED2267"/>
    <w:rsid w:val="00ED277A"/>
    <w:rsid w:val="00ED5D84"/>
    <w:rsid w:val="00EE01EE"/>
    <w:rsid w:val="00EE0E07"/>
    <w:rsid w:val="00EE0E35"/>
    <w:rsid w:val="00EE5378"/>
    <w:rsid w:val="00EE6551"/>
    <w:rsid w:val="00EE6D25"/>
    <w:rsid w:val="00EE7867"/>
    <w:rsid w:val="00EE7BDC"/>
    <w:rsid w:val="00EF1AF6"/>
    <w:rsid w:val="00EF1D6C"/>
    <w:rsid w:val="00EF23FC"/>
    <w:rsid w:val="00EF293D"/>
    <w:rsid w:val="00EF310F"/>
    <w:rsid w:val="00EF43BB"/>
    <w:rsid w:val="00EF6E38"/>
    <w:rsid w:val="00EF7432"/>
    <w:rsid w:val="00F00FCB"/>
    <w:rsid w:val="00F01213"/>
    <w:rsid w:val="00F01DF4"/>
    <w:rsid w:val="00F058B2"/>
    <w:rsid w:val="00F05B5B"/>
    <w:rsid w:val="00F10506"/>
    <w:rsid w:val="00F10B53"/>
    <w:rsid w:val="00F1313A"/>
    <w:rsid w:val="00F138A0"/>
    <w:rsid w:val="00F143A5"/>
    <w:rsid w:val="00F14BC0"/>
    <w:rsid w:val="00F16A9A"/>
    <w:rsid w:val="00F20731"/>
    <w:rsid w:val="00F20795"/>
    <w:rsid w:val="00F2094B"/>
    <w:rsid w:val="00F2116C"/>
    <w:rsid w:val="00F2180C"/>
    <w:rsid w:val="00F21A8F"/>
    <w:rsid w:val="00F23066"/>
    <w:rsid w:val="00F23082"/>
    <w:rsid w:val="00F230A1"/>
    <w:rsid w:val="00F23E6F"/>
    <w:rsid w:val="00F24025"/>
    <w:rsid w:val="00F24ABE"/>
    <w:rsid w:val="00F2528B"/>
    <w:rsid w:val="00F25556"/>
    <w:rsid w:val="00F25984"/>
    <w:rsid w:val="00F26A2D"/>
    <w:rsid w:val="00F2718A"/>
    <w:rsid w:val="00F30303"/>
    <w:rsid w:val="00F317D8"/>
    <w:rsid w:val="00F321CF"/>
    <w:rsid w:val="00F32400"/>
    <w:rsid w:val="00F3280D"/>
    <w:rsid w:val="00F32BA1"/>
    <w:rsid w:val="00F33510"/>
    <w:rsid w:val="00F34E37"/>
    <w:rsid w:val="00F35D67"/>
    <w:rsid w:val="00F361E9"/>
    <w:rsid w:val="00F362BD"/>
    <w:rsid w:val="00F37D7A"/>
    <w:rsid w:val="00F4208A"/>
    <w:rsid w:val="00F442D0"/>
    <w:rsid w:val="00F44CA9"/>
    <w:rsid w:val="00F451C5"/>
    <w:rsid w:val="00F4587E"/>
    <w:rsid w:val="00F460DE"/>
    <w:rsid w:val="00F518EF"/>
    <w:rsid w:val="00F519E1"/>
    <w:rsid w:val="00F51AE5"/>
    <w:rsid w:val="00F534CE"/>
    <w:rsid w:val="00F545EC"/>
    <w:rsid w:val="00F57187"/>
    <w:rsid w:val="00F6317B"/>
    <w:rsid w:val="00F63457"/>
    <w:rsid w:val="00F636DA"/>
    <w:rsid w:val="00F6379B"/>
    <w:rsid w:val="00F64EFC"/>
    <w:rsid w:val="00F653D5"/>
    <w:rsid w:val="00F65C8F"/>
    <w:rsid w:val="00F66133"/>
    <w:rsid w:val="00F674E2"/>
    <w:rsid w:val="00F67945"/>
    <w:rsid w:val="00F71DD5"/>
    <w:rsid w:val="00F720B5"/>
    <w:rsid w:val="00F7213D"/>
    <w:rsid w:val="00F72DB2"/>
    <w:rsid w:val="00F72EF7"/>
    <w:rsid w:val="00F732AA"/>
    <w:rsid w:val="00F736FF"/>
    <w:rsid w:val="00F73E10"/>
    <w:rsid w:val="00F753E2"/>
    <w:rsid w:val="00F75607"/>
    <w:rsid w:val="00F765FD"/>
    <w:rsid w:val="00F76B7F"/>
    <w:rsid w:val="00F778BE"/>
    <w:rsid w:val="00F77C22"/>
    <w:rsid w:val="00F80843"/>
    <w:rsid w:val="00F81021"/>
    <w:rsid w:val="00F81058"/>
    <w:rsid w:val="00F81C4B"/>
    <w:rsid w:val="00F83EF6"/>
    <w:rsid w:val="00F840DB"/>
    <w:rsid w:val="00F867B0"/>
    <w:rsid w:val="00F86E1D"/>
    <w:rsid w:val="00F870DB"/>
    <w:rsid w:val="00F879D0"/>
    <w:rsid w:val="00F900F6"/>
    <w:rsid w:val="00F92A27"/>
    <w:rsid w:val="00F94907"/>
    <w:rsid w:val="00F94B4B"/>
    <w:rsid w:val="00F971C5"/>
    <w:rsid w:val="00F97DD1"/>
    <w:rsid w:val="00FA0264"/>
    <w:rsid w:val="00FA12AA"/>
    <w:rsid w:val="00FA1658"/>
    <w:rsid w:val="00FA29DD"/>
    <w:rsid w:val="00FA3C80"/>
    <w:rsid w:val="00FA50BF"/>
    <w:rsid w:val="00FA58C8"/>
    <w:rsid w:val="00FB00B2"/>
    <w:rsid w:val="00FB0C69"/>
    <w:rsid w:val="00FB0D77"/>
    <w:rsid w:val="00FB638A"/>
    <w:rsid w:val="00FB67CF"/>
    <w:rsid w:val="00FB70D3"/>
    <w:rsid w:val="00FC0DCE"/>
    <w:rsid w:val="00FC3420"/>
    <w:rsid w:val="00FC55A5"/>
    <w:rsid w:val="00FC6739"/>
    <w:rsid w:val="00FC726D"/>
    <w:rsid w:val="00FC7976"/>
    <w:rsid w:val="00FD0EA7"/>
    <w:rsid w:val="00FD1A00"/>
    <w:rsid w:val="00FD1C16"/>
    <w:rsid w:val="00FD1F36"/>
    <w:rsid w:val="00FD2507"/>
    <w:rsid w:val="00FD3129"/>
    <w:rsid w:val="00FD416B"/>
    <w:rsid w:val="00FD4819"/>
    <w:rsid w:val="00FD50A4"/>
    <w:rsid w:val="00FD73B2"/>
    <w:rsid w:val="00FD79A0"/>
    <w:rsid w:val="00FE056B"/>
    <w:rsid w:val="00FE0A23"/>
    <w:rsid w:val="00FE139D"/>
    <w:rsid w:val="00FE1D9E"/>
    <w:rsid w:val="00FE33E1"/>
    <w:rsid w:val="00FE35B7"/>
    <w:rsid w:val="00FE36E3"/>
    <w:rsid w:val="00FE3E51"/>
    <w:rsid w:val="00FE4304"/>
    <w:rsid w:val="00FE5DB9"/>
    <w:rsid w:val="00FE710E"/>
    <w:rsid w:val="00FF0AE0"/>
    <w:rsid w:val="00FF2332"/>
    <w:rsid w:val="00FF33AC"/>
    <w:rsid w:val="00FF3C8E"/>
    <w:rsid w:val="06AA1A04"/>
    <w:rsid w:val="08DD0EFE"/>
    <w:rsid w:val="0E7B0B34"/>
    <w:rsid w:val="12042B30"/>
    <w:rsid w:val="14752E57"/>
    <w:rsid w:val="239F1300"/>
    <w:rsid w:val="240B3E80"/>
    <w:rsid w:val="24443260"/>
    <w:rsid w:val="26F176CF"/>
    <w:rsid w:val="28F25980"/>
    <w:rsid w:val="348D535A"/>
    <w:rsid w:val="38282656"/>
    <w:rsid w:val="462907DC"/>
    <w:rsid w:val="49D979FF"/>
    <w:rsid w:val="4ACF6850"/>
    <w:rsid w:val="4DEF6C30"/>
    <w:rsid w:val="4F2204BE"/>
    <w:rsid w:val="5C910A31"/>
    <w:rsid w:val="5DE541FF"/>
    <w:rsid w:val="622C43BF"/>
    <w:rsid w:val="65724D77"/>
    <w:rsid w:val="661207DE"/>
    <w:rsid w:val="701D465E"/>
    <w:rsid w:val="76FF2C3A"/>
    <w:rsid w:val="78F9378E"/>
    <w:rsid w:val="7BD55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autoRedefine/>
    <w:unhideWhenUsed/>
    <w:qFormat/>
    <w:uiPriority w:val="99"/>
    <w:pPr>
      <w:jc w:val="left"/>
    </w:pPr>
  </w:style>
  <w:style w:type="paragraph" w:styleId="3">
    <w:name w:val="Date"/>
    <w:basedOn w:val="1"/>
    <w:next w:val="1"/>
    <w:link w:val="13"/>
    <w:autoRedefine/>
    <w:semiHidden/>
    <w:unhideWhenUsed/>
    <w:qFormat/>
    <w:uiPriority w:val="99"/>
    <w:pPr>
      <w:ind w:left="100" w:leftChars="2500"/>
    </w:pPr>
  </w:style>
  <w:style w:type="paragraph" w:styleId="4">
    <w:name w:val="Balloon Text"/>
    <w:basedOn w:val="1"/>
    <w:link w:val="17"/>
    <w:autoRedefine/>
    <w:semiHidden/>
    <w:unhideWhenUsed/>
    <w:qFormat/>
    <w:uiPriority w:val="99"/>
    <w:rPr>
      <w:sz w:val="18"/>
      <w:szCs w:val="18"/>
    </w:rPr>
  </w:style>
  <w:style w:type="paragraph" w:styleId="5">
    <w:name w:val="footer"/>
    <w:basedOn w:val="1"/>
    <w:link w:val="16"/>
    <w:autoRedefine/>
    <w:unhideWhenUsed/>
    <w:qFormat/>
    <w:uiPriority w:val="99"/>
    <w:pPr>
      <w:tabs>
        <w:tab w:val="center" w:pos="4153"/>
        <w:tab w:val="right" w:pos="8306"/>
      </w:tabs>
      <w:snapToGrid w:val="0"/>
      <w:jc w:val="left"/>
    </w:pPr>
    <w:rPr>
      <w:sz w:val="18"/>
      <w:szCs w:val="18"/>
    </w:rPr>
  </w:style>
  <w:style w:type="paragraph" w:styleId="6">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unhideWhenUsed/>
    <w:qFormat/>
    <w:uiPriority w:val="39"/>
  </w:style>
  <w:style w:type="paragraph" w:styleId="8">
    <w:name w:val="toc 2"/>
    <w:basedOn w:val="1"/>
    <w:next w:val="1"/>
    <w:autoRedefine/>
    <w:semiHidden/>
    <w:unhideWhenUsed/>
    <w:qFormat/>
    <w:uiPriority w:val="39"/>
    <w:pPr>
      <w:ind w:left="420" w:leftChars="200"/>
    </w:p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autoRedefine/>
    <w:semiHidden/>
    <w:unhideWhenUsed/>
    <w:qFormat/>
    <w:uiPriority w:val="99"/>
    <w:rPr>
      <w:sz w:val="21"/>
      <w:szCs w:val="21"/>
    </w:rPr>
  </w:style>
  <w:style w:type="character" w:customStyle="1" w:styleId="13">
    <w:name w:val="日期 Char"/>
    <w:basedOn w:val="11"/>
    <w:link w:val="3"/>
    <w:autoRedefine/>
    <w:semiHidden/>
    <w:qFormat/>
    <w:uiPriority w:val="99"/>
  </w:style>
  <w:style w:type="paragraph" w:styleId="14">
    <w:name w:val="List Paragraph"/>
    <w:basedOn w:val="1"/>
    <w:autoRedefine/>
    <w:qFormat/>
    <w:uiPriority w:val="99"/>
    <w:pPr>
      <w:ind w:firstLine="420" w:firstLineChars="200"/>
    </w:pPr>
  </w:style>
  <w:style w:type="character" w:customStyle="1" w:styleId="15">
    <w:name w:val="页眉 Char"/>
    <w:basedOn w:val="11"/>
    <w:link w:val="6"/>
    <w:autoRedefine/>
    <w:qFormat/>
    <w:uiPriority w:val="99"/>
    <w:rPr>
      <w:sz w:val="18"/>
      <w:szCs w:val="18"/>
    </w:rPr>
  </w:style>
  <w:style w:type="character" w:customStyle="1" w:styleId="16">
    <w:name w:val="页脚 Char"/>
    <w:basedOn w:val="11"/>
    <w:link w:val="5"/>
    <w:autoRedefine/>
    <w:qFormat/>
    <w:uiPriority w:val="99"/>
    <w:rPr>
      <w:sz w:val="18"/>
      <w:szCs w:val="18"/>
    </w:rPr>
  </w:style>
  <w:style w:type="character" w:customStyle="1" w:styleId="17">
    <w:name w:val="批注框文本 Char"/>
    <w:basedOn w:val="11"/>
    <w:link w:val="4"/>
    <w:autoRedefine/>
    <w:semiHidden/>
    <w:qFormat/>
    <w:uiPriority w:val="99"/>
    <w:rPr>
      <w:sz w:val="18"/>
      <w:szCs w:val="18"/>
    </w:rPr>
  </w:style>
  <w:style w:type="paragraph" w:customStyle="1" w:styleId="18">
    <w:name w:val="样式1"/>
    <w:basedOn w:val="1"/>
    <w:autoRedefine/>
    <w:qFormat/>
    <w:uiPriority w:val="0"/>
  </w:style>
  <w:style w:type="paragraph" w:customStyle="1" w:styleId="19">
    <w:name w:val="WPSOffice手动目录 1"/>
    <w:autoRedefine/>
    <w:qFormat/>
    <w:uiPriority w:val="0"/>
    <w:rPr>
      <w:rFonts w:asciiTheme="minorHAnsi" w:hAnsiTheme="minorHAnsi" w:eastAsiaTheme="minorEastAsia" w:cstheme="minorBidi"/>
      <w:lang w:val="en-US" w:eastAsia="zh-CN" w:bidi="ar-SA"/>
    </w:rPr>
  </w:style>
  <w:style w:type="paragraph" w:customStyle="1" w:styleId="20">
    <w:name w:val="WPSOffice手动目录 2"/>
    <w:autoRedefine/>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1561</Words>
  <Characters>8899</Characters>
  <Lines>74</Lines>
  <Paragraphs>20</Paragraphs>
  <TotalTime>7</TotalTime>
  <ScaleCrop>false</ScaleCrop>
  <LinksUpToDate>false</LinksUpToDate>
  <CharactersWithSpaces>10440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2023-01-10T01:15:00Z</dcterms:created>
  <dc:creator>Administrator</dc:creator>
  <cp:lastModifiedBy>Mango</cp:lastModifiedBy>
  <cp:lastPrinted>2023-09-15T02:39:00Z</cp:lastPrinted>
  <dcterms:modified xsi:type="dcterms:W3CDTF">2024-04-22T02:26:39Z</dcterms:modified>
  <cp:revision>326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29BDB33945214B1F9867FB68B5B4A3C5_12</vt:lpwstr>
  </property>
</Properties>
</file>