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p>
    <w:p>
      <w:pPr>
        <w:jc w:val="center"/>
        <w:rPr>
          <w:sz w:val="44"/>
          <w:szCs w:val="44"/>
        </w:rPr>
      </w:pPr>
    </w:p>
    <w:p>
      <w:pPr>
        <w:jc w:val="both"/>
        <w:rPr>
          <w:sz w:val="44"/>
          <w:szCs w:val="44"/>
        </w:rPr>
      </w:pPr>
    </w:p>
    <w:p>
      <w:pPr>
        <w:jc w:val="center"/>
        <w:rPr>
          <w:sz w:val="44"/>
          <w:szCs w:val="44"/>
        </w:rPr>
      </w:pPr>
    </w:p>
    <w:p>
      <w:pPr>
        <w:bidi w:val="0"/>
        <w:jc w:val="center"/>
        <w:rPr>
          <w:rFonts w:hint="eastAsia" w:ascii="宋体" w:hAnsi="宋体" w:eastAsia="宋体" w:cs="宋体"/>
          <w:b/>
          <w:bCs/>
          <w:sz w:val="44"/>
          <w:szCs w:val="44"/>
        </w:rPr>
      </w:pPr>
      <w:bookmarkStart w:id="0" w:name="_Toc29321"/>
      <w:bookmarkStart w:id="1" w:name="_Toc23207"/>
      <w:bookmarkStart w:id="2" w:name="_Toc21651"/>
      <w:r>
        <w:rPr>
          <w:rFonts w:hint="eastAsia" w:ascii="宋体" w:hAnsi="宋体" w:eastAsia="宋体" w:cs="宋体"/>
          <w:b/>
          <w:bCs/>
          <w:sz w:val="44"/>
          <w:szCs w:val="44"/>
        </w:rPr>
        <w:t>赣州蓉江新区高校园区管理处</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2022年度部门整体支出绩效评价报告</w:t>
      </w:r>
      <w:bookmarkEnd w:id="0"/>
      <w:bookmarkEnd w:id="1"/>
      <w:bookmarkEnd w:id="2"/>
    </w:p>
    <w:p>
      <w:pPr>
        <w:jc w:val="center"/>
      </w:pPr>
      <w:r>
        <w:rPr>
          <w:rFonts w:hint="eastAsia" w:cs="仿宋_GB2312" w:asciiTheme="majorEastAsia" w:hAnsiTheme="majorEastAsia" w:eastAsiaTheme="majorEastAsia"/>
          <w:sz w:val="28"/>
          <w:szCs w:val="28"/>
          <w:u w:val="none"/>
        </w:rPr>
        <w:t>国众联咨报字（2024)第5-0018号</w:t>
      </w:r>
    </w:p>
    <w:p/>
    <w:p/>
    <w:p/>
    <w:p/>
    <w:p>
      <w:pPr>
        <w:pStyle w:val="5"/>
      </w:pPr>
    </w:p>
    <w:p/>
    <w:p>
      <w:pPr>
        <w:pStyle w:val="5"/>
      </w:pPr>
    </w:p>
    <w:p>
      <w:pPr>
        <w:pStyle w:val="5"/>
      </w:pPr>
    </w:p>
    <w:p/>
    <w:p/>
    <w:p/>
    <w:p/>
    <w:p/>
    <w:p>
      <w:pPr>
        <w:pStyle w:val="5"/>
      </w:pPr>
    </w:p>
    <w:p>
      <w:pPr>
        <w:rPr>
          <w:b/>
          <w:sz w:val="30"/>
          <w:szCs w:val="30"/>
        </w:rPr>
      </w:pPr>
      <w:r>
        <w:rPr>
          <w:rFonts w:hint="eastAsia" w:ascii="仿宋" w:hAnsi="仿宋" w:eastAsia="仿宋"/>
          <w:sz w:val="32"/>
          <w:szCs w:val="32"/>
        </w:rPr>
        <w:t>项目名称：赣州蓉江新区高校园区管理处2022年度部门整体支出</w:t>
      </w:r>
    </w:p>
    <w:p>
      <w:pPr>
        <w:rPr>
          <w:rFonts w:ascii="仿宋" w:hAnsi="仿宋" w:eastAsia="仿宋"/>
          <w:sz w:val="32"/>
          <w:szCs w:val="32"/>
        </w:rPr>
      </w:pPr>
      <w:r>
        <w:rPr>
          <w:rFonts w:hint="eastAsia" w:ascii="仿宋" w:hAnsi="仿宋" w:eastAsia="仿宋"/>
          <w:sz w:val="32"/>
          <w:szCs w:val="32"/>
          <w:lang w:val="en-US" w:eastAsia="zh-CN"/>
        </w:rPr>
        <w:t>项目</w:t>
      </w:r>
      <w:r>
        <w:rPr>
          <w:rFonts w:hint="eastAsia" w:ascii="仿宋" w:hAnsi="仿宋" w:eastAsia="仿宋"/>
          <w:sz w:val="32"/>
          <w:szCs w:val="32"/>
        </w:rPr>
        <w:t>单位：赣州蓉江新区高校园区管理处</w:t>
      </w:r>
    </w:p>
    <w:p>
      <w:pPr>
        <w:rPr>
          <w:rFonts w:ascii="仿宋" w:hAnsi="仿宋" w:eastAsia="仿宋"/>
          <w:sz w:val="32"/>
          <w:szCs w:val="32"/>
        </w:rPr>
      </w:pPr>
      <w:r>
        <w:rPr>
          <w:rFonts w:hint="eastAsia" w:ascii="仿宋" w:hAnsi="仿宋" w:eastAsia="仿宋"/>
          <w:sz w:val="32"/>
          <w:szCs w:val="32"/>
        </w:rPr>
        <w:t>委托单位：赣州蓉江新区财政局</w:t>
      </w:r>
    </w:p>
    <w:p>
      <w:pPr>
        <w:rPr>
          <w:rFonts w:ascii="仿宋" w:hAnsi="仿宋" w:eastAsia="仿宋"/>
          <w:sz w:val="32"/>
          <w:szCs w:val="32"/>
        </w:rPr>
      </w:pPr>
      <w:r>
        <w:rPr>
          <w:rFonts w:hint="eastAsia" w:ascii="仿宋" w:hAnsi="仿宋" w:eastAsia="仿宋"/>
          <w:sz w:val="32"/>
          <w:szCs w:val="32"/>
        </w:rPr>
        <w:t>评价机构：国众联资产评估土地房地产估价有限公司</w:t>
      </w:r>
    </w:p>
    <w:p>
      <w:pPr>
        <w:rPr>
          <w:rFonts w:ascii="仿宋" w:hAnsi="仿宋" w:eastAsia="仿宋"/>
          <w:sz w:val="32"/>
          <w:szCs w:val="32"/>
        </w:rPr>
        <w:sectPr>
          <w:headerReference r:id="rId4" w:type="first"/>
          <w:headerReference r:id="rId3" w:type="default"/>
          <w:pgSz w:w="11906" w:h="16838"/>
          <w:pgMar w:top="1440" w:right="1417" w:bottom="1440" w:left="1417" w:header="851" w:footer="992" w:gutter="0"/>
          <w:cols w:space="0" w:num="1"/>
          <w:titlePg/>
          <w:rtlGutter w:val="0"/>
          <w:docGrid w:type="lines" w:linePitch="312" w:charSpace="0"/>
        </w:sectPr>
      </w:pPr>
      <w:r>
        <w:rPr>
          <w:rFonts w:hint="eastAsia" w:ascii="仿宋" w:hAnsi="仿宋" w:eastAsia="仿宋"/>
          <w:sz w:val="32"/>
          <w:szCs w:val="32"/>
        </w:rPr>
        <w:t>报告日期：二</w:t>
      </w:r>
      <w:r>
        <w:rPr>
          <w:rFonts w:hint="eastAsia" w:ascii="仿宋" w:hAnsi="仿宋" w:eastAsia="仿宋"/>
          <w:sz w:val="32"/>
          <w:szCs w:val="32"/>
          <w:lang w:val="en-US" w:eastAsia="zh-CN"/>
        </w:rPr>
        <w:t>零</w:t>
      </w:r>
      <w:r>
        <w:rPr>
          <w:rFonts w:hint="eastAsia" w:ascii="仿宋" w:hAnsi="仿宋" w:eastAsia="仿宋"/>
          <w:sz w:val="32"/>
          <w:szCs w:val="32"/>
        </w:rPr>
        <w:t>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bidi w:val="0"/>
        <w:jc w:val="center"/>
        <w:rPr>
          <w:rFonts w:hint="eastAsia" w:ascii="仿宋" w:hAnsi="仿宋" w:eastAsia="仿宋" w:cs="仿宋"/>
          <w:b/>
          <w:bCs/>
          <w:sz w:val="44"/>
          <w:szCs w:val="44"/>
        </w:rPr>
      </w:pPr>
      <w:r>
        <w:rPr>
          <w:rFonts w:hint="eastAsia" w:ascii="仿宋" w:hAnsi="仿宋" w:eastAsia="仿宋" w:cs="仿宋"/>
          <w:b/>
          <w:bCs/>
          <w:sz w:val="44"/>
          <w:szCs w:val="44"/>
        </w:rPr>
        <w:t>摘  要</w:t>
      </w:r>
    </w:p>
    <w:p>
      <w:pPr>
        <w:bidi w:val="0"/>
      </w:pPr>
      <w:bookmarkStart w:id="3" w:name="_Toc9221"/>
      <w:bookmarkStart w:id="4" w:name="_Toc20683"/>
      <w:bookmarkStart w:id="5" w:name="_Toc24995"/>
    </w:p>
    <w:p>
      <w:pPr>
        <w:bidi w:val="0"/>
        <w:rPr>
          <w:rFonts w:hint="eastAsia" w:ascii="仿宋" w:hAnsi="仿宋" w:eastAsia="仿宋" w:cs="仿宋"/>
          <w:b/>
          <w:bCs/>
          <w:sz w:val="32"/>
          <w:szCs w:val="32"/>
        </w:rPr>
      </w:pPr>
      <w:r>
        <w:rPr>
          <w:rFonts w:hint="eastAsia" w:ascii="仿宋" w:hAnsi="仿宋" w:eastAsia="仿宋" w:cs="仿宋"/>
          <w:b/>
          <w:bCs/>
          <w:sz w:val="32"/>
          <w:szCs w:val="32"/>
        </w:rPr>
        <w:t>一、部门整体支出概况</w:t>
      </w:r>
      <w:bookmarkEnd w:id="3"/>
      <w:bookmarkEnd w:id="4"/>
      <w:bookmarkEnd w:id="5"/>
    </w:p>
    <w:p>
      <w:pPr>
        <w:spacing w:line="520" w:lineRule="exact"/>
        <w:ind w:firstLine="640" w:firstLineChars="200"/>
        <w:jc w:val="left"/>
        <w:rPr>
          <w:rFonts w:ascii="仿宋" w:hAnsi="仿宋" w:eastAsia="仿宋"/>
          <w:spacing w:val="-6"/>
          <w:sz w:val="32"/>
          <w:szCs w:val="32"/>
        </w:rPr>
      </w:pPr>
      <w:r>
        <w:rPr>
          <w:rFonts w:hint="eastAsia" w:ascii="仿宋" w:hAnsi="仿宋" w:eastAsia="仿宋"/>
          <w:sz w:val="32"/>
          <w:szCs w:val="32"/>
        </w:rPr>
        <w:t>年度单位预算情况—2022年年初预算收入总计1337.23万元，全部为一般公共预算拨款收入。年初预算支出1337.23万元，其中：基本支出542.53万元，项目支出794.70万元。</w:t>
      </w:r>
      <w:r>
        <w:rPr>
          <w:rFonts w:hint="eastAsia" w:ascii="仿宋" w:hAnsi="仿宋" w:eastAsia="仿宋"/>
          <w:spacing w:val="-6"/>
          <w:sz w:val="32"/>
          <w:szCs w:val="32"/>
        </w:rPr>
        <w:t>2022年预算调整收入406.25万元，调整后预算总收入1743.48万元。</w:t>
      </w:r>
    </w:p>
    <w:p>
      <w:pPr>
        <w:spacing w:line="520" w:lineRule="exact"/>
        <w:ind w:firstLine="616" w:firstLineChars="200"/>
        <w:jc w:val="left"/>
        <w:rPr>
          <w:rFonts w:ascii="仿宋" w:hAnsi="仿宋" w:eastAsia="仿宋"/>
          <w:sz w:val="32"/>
          <w:szCs w:val="32"/>
        </w:rPr>
      </w:pPr>
      <w:r>
        <w:rPr>
          <w:rFonts w:hint="eastAsia" w:ascii="仿宋" w:hAnsi="仿宋" w:eastAsia="仿宋"/>
          <w:spacing w:val="-6"/>
          <w:sz w:val="32"/>
          <w:szCs w:val="32"/>
        </w:rPr>
        <w:t>年度单位预算执行情况—2022年度决算收入总额1743.48万元，</w:t>
      </w:r>
      <w:r>
        <w:rPr>
          <w:rFonts w:hint="eastAsia" w:ascii="仿宋" w:hAnsi="仿宋" w:eastAsia="仿宋"/>
          <w:sz w:val="32"/>
          <w:szCs w:val="32"/>
        </w:rPr>
        <w:t>其中：本年一般公共预算财政拨款收入1596.36万元、政府性基金预算财政拨款收入147.11万元。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2022年度决算支出1743.48万元，其中：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按支出性质分类：基本支出507.38万元，项目支出1236.10万元；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基本支出按经济分类：工资福利支出398.23万元、商品和服务支出109.15万元。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基本支出中人员经费支出398.23万元，占基本支出的78.49%，日常公用经费支出109.15万元，占基本支出的21.51%。</w:t>
      </w:r>
    </w:p>
    <w:p>
      <w:pPr>
        <w:bidi w:val="0"/>
        <w:rPr>
          <w:rFonts w:hint="eastAsia" w:ascii="仿宋" w:hAnsi="仿宋" w:eastAsia="仿宋" w:cs="仿宋"/>
          <w:b/>
          <w:bCs/>
          <w:sz w:val="32"/>
          <w:szCs w:val="32"/>
        </w:rPr>
      </w:pPr>
      <w:bookmarkStart w:id="6" w:name="_Toc11451"/>
      <w:bookmarkStart w:id="7" w:name="_Toc10743"/>
      <w:bookmarkStart w:id="8" w:name="_Toc22792"/>
      <w:r>
        <w:rPr>
          <w:rFonts w:hint="eastAsia" w:ascii="仿宋" w:hAnsi="仿宋" w:eastAsia="仿宋" w:cs="仿宋"/>
          <w:b/>
          <w:bCs/>
          <w:sz w:val="32"/>
          <w:szCs w:val="32"/>
        </w:rPr>
        <w:t>二、评价结论和绩效分析</w:t>
      </w:r>
      <w:bookmarkEnd w:id="6"/>
      <w:bookmarkEnd w:id="7"/>
      <w:bookmarkEnd w:id="8"/>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本次评价在资料查阅、现场调研及访谈基础上，对赣州蓉江新区高校园区管理处2022年度部门整体支出绩效进行逐项打分、客观评价，等级设为四档：90（含）-100分为优、80（含）-90分为良、60（含）-80分为中等、60分以下为差</w:t>
      </w:r>
      <w:r>
        <w:rPr>
          <w:rFonts w:hint="eastAsia" w:ascii="仿宋" w:hAnsi="仿宋" w:eastAsia="仿宋" w:cs="仿宋"/>
          <w:sz w:val="32"/>
          <w:szCs w:val="32"/>
          <w:lang w:eastAsia="zh-CN"/>
        </w:rPr>
        <w:t>，</w:t>
      </w:r>
      <w:r>
        <w:rPr>
          <w:rFonts w:hint="eastAsia" w:ascii="仿宋" w:hAnsi="仿宋" w:eastAsia="仿宋" w:cs="仿宋"/>
          <w:sz w:val="32"/>
          <w:szCs w:val="32"/>
        </w:rPr>
        <w:t>最终评分结果：总得分为 85.5分，绩效评级为“良”。</w:t>
      </w:r>
    </w:p>
    <w:p>
      <w:pPr>
        <w:spacing w:line="52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6"/>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11</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18</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30</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73.33%</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72%</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93.75%</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85.5%</w:t>
            </w:r>
          </w:p>
        </w:tc>
      </w:tr>
    </w:tbl>
    <w:p>
      <w:pPr>
        <w:bidi w:val="0"/>
        <w:rPr>
          <w:rFonts w:hint="eastAsia" w:ascii="仿宋" w:hAnsi="仿宋" w:eastAsia="仿宋" w:cs="仿宋"/>
          <w:b/>
          <w:bCs/>
          <w:sz w:val="32"/>
          <w:szCs w:val="32"/>
        </w:rPr>
      </w:pPr>
      <w:bookmarkStart w:id="9" w:name="_Toc17059"/>
      <w:bookmarkStart w:id="10" w:name="_Toc10616"/>
      <w:bookmarkStart w:id="11" w:name="_Toc7356"/>
      <w:r>
        <w:rPr>
          <w:rFonts w:hint="eastAsia" w:ascii="仿宋" w:hAnsi="仿宋" w:eastAsia="仿宋" w:cs="仿宋"/>
          <w:b/>
          <w:bCs/>
          <w:sz w:val="32"/>
          <w:szCs w:val="32"/>
        </w:rPr>
        <w:t>三、存在的问题和建议</w:t>
      </w:r>
      <w:bookmarkEnd w:id="9"/>
      <w:bookmarkEnd w:id="10"/>
      <w:bookmarkEnd w:id="11"/>
    </w:p>
    <w:p>
      <w:pPr>
        <w:bidi w:val="0"/>
        <w:rPr>
          <w:rFonts w:hint="eastAsia"/>
        </w:rPr>
      </w:pPr>
    </w:p>
    <w:p>
      <w:pPr>
        <w:bidi w:val="0"/>
        <w:rPr>
          <w:rFonts w:hint="eastAsia" w:ascii="仿宋" w:hAnsi="仿宋" w:eastAsia="仿宋" w:cs="仿宋"/>
          <w:sz w:val="32"/>
          <w:szCs w:val="32"/>
        </w:rPr>
      </w:pPr>
      <w:bookmarkStart w:id="12" w:name="_Toc10845"/>
      <w:bookmarkStart w:id="13" w:name="_Toc175"/>
      <w:r>
        <w:rPr>
          <w:rFonts w:hint="eastAsia" w:ascii="仿宋" w:hAnsi="仿宋" w:eastAsia="仿宋" w:cs="仿宋"/>
          <w:sz w:val="32"/>
          <w:szCs w:val="32"/>
        </w:rPr>
        <w:t>（一）存在的问题</w:t>
      </w:r>
      <w:bookmarkEnd w:id="12"/>
      <w:bookmarkEnd w:id="13"/>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预算绩效管理工作方面存在不足。绩效目标管理工作有待改善，存在绩效指标设立明确性、量化、科学合理性不足的情形；绩效监控管理工作有待改善，存在预算执行过程中监督不够细致的情形；绩效评价管理工作有待改善，存在评价依据不足的情形。</w:t>
      </w:r>
    </w:p>
    <w:p>
      <w:pPr>
        <w:pStyle w:val="5"/>
        <w:spacing w:line="520" w:lineRule="exact"/>
        <w:ind w:firstLine="640"/>
        <w:rPr>
          <w:rFonts w:hint="eastAsia" w:ascii="仿宋" w:hAnsi="仿宋" w:eastAsia="仿宋" w:cs="仿宋"/>
          <w:sz w:val="32"/>
          <w:szCs w:val="32"/>
        </w:rPr>
      </w:pPr>
      <w:r>
        <w:rPr>
          <w:rFonts w:hint="eastAsia" w:ascii="仿宋" w:hAnsi="仿宋" w:eastAsia="仿宋" w:cs="仿宋"/>
          <w:sz w:val="32"/>
          <w:szCs w:val="32"/>
        </w:rPr>
        <w:t>2、管理制度体系有待完善、制度执行有待加强。高校园区管理处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bidi w:val="0"/>
        <w:rPr>
          <w:rFonts w:hint="eastAsia" w:ascii="仿宋" w:hAnsi="仿宋" w:eastAsia="仿宋" w:cs="仿宋"/>
          <w:sz w:val="32"/>
          <w:szCs w:val="32"/>
        </w:rPr>
      </w:pPr>
    </w:p>
    <w:p>
      <w:pPr>
        <w:bidi w:val="0"/>
        <w:rPr>
          <w:rFonts w:hint="eastAsia" w:ascii="仿宋" w:hAnsi="仿宋" w:eastAsia="仿宋" w:cs="仿宋"/>
          <w:sz w:val="32"/>
          <w:szCs w:val="32"/>
        </w:rPr>
      </w:pPr>
      <w:bookmarkStart w:id="14" w:name="_Toc13344"/>
      <w:bookmarkStart w:id="15" w:name="_Toc7339"/>
      <w:r>
        <w:rPr>
          <w:rFonts w:hint="eastAsia" w:ascii="仿宋" w:hAnsi="仿宋" w:eastAsia="仿宋" w:cs="仿宋"/>
          <w:sz w:val="32"/>
          <w:szCs w:val="32"/>
        </w:rPr>
        <w:t>（二）改进措施和建议</w:t>
      </w:r>
      <w:bookmarkEnd w:id="14"/>
      <w:bookmarkEnd w:id="15"/>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widowControl/>
        <w:spacing w:line="520" w:lineRule="exact"/>
        <w:ind w:firstLine="640" w:firstLineChars="200"/>
        <w:jc w:val="left"/>
        <w:rPr>
          <w:b/>
          <w:sz w:val="30"/>
          <w:szCs w:val="30"/>
        </w:rPr>
        <w:sectPr>
          <w:headerReference r:id="rId6" w:type="first"/>
          <w:footerReference r:id="rId8" w:type="first"/>
          <w:headerReference r:id="rId5" w:type="default"/>
          <w:footerReference r:id="rId7" w:type="default"/>
          <w:pgSz w:w="11906" w:h="16838"/>
          <w:pgMar w:top="1440" w:right="1417" w:bottom="1440" w:left="1417" w:header="851" w:footer="992" w:gutter="0"/>
          <w:cols w:space="0" w:num="1"/>
          <w:titlePg/>
          <w:rtlGutter w:val="0"/>
          <w:docGrid w:type="lines" w:linePitch="312" w:charSpace="0"/>
        </w:sectPr>
      </w:pPr>
      <w:r>
        <w:rPr>
          <w:rFonts w:hint="eastAsia" w:ascii="仿宋" w:hAnsi="仿宋" w:eastAsia="仿宋" w:cs="仿宋"/>
          <w:sz w:val="32"/>
          <w:szCs w:val="32"/>
        </w:rPr>
        <w:t>2、加强制度管理体系建设及制度的落实。在充分结合部门实际情况的基础上，进一步完善相关管理制度，如：建立健全专门的预算资金管理办法、预算绩效管理办法，完善组织机构、明确人员分工，做到责任到人；并抓好制度的落实，加强对相关制度执行的监督管理。</w:t>
      </w:r>
    </w:p>
    <w:p>
      <w:pPr>
        <w:pStyle w:val="5"/>
        <w:ind w:firstLine="0" w:firstLineChars="0"/>
      </w:pPr>
    </w:p>
    <w:sdt>
      <w:sdtPr>
        <w:rPr>
          <w:rFonts w:hint="eastAsia" w:ascii="仿宋" w:hAnsi="仿宋" w:eastAsia="仿宋" w:cs="仿宋"/>
          <w:b/>
          <w:bCs/>
          <w:sz w:val="32"/>
          <w:szCs w:val="32"/>
        </w:rPr>
        <w:id w:val="147471102"/>
        <w:docPartObj>
          <w:docPartGallery w:val="Table of Contents"/>
          <w:docPartUnique/>
        </w:docPartObj>
      </w:sdtPr>
      <w:sdtEndPr>
        <w:rPr>
          <w:rFonts w:hint="eastAsia" w:ascii="宋体" w:hAnsi="宋体" w:eastAsia="宋体" w:cs="仿宋"/>
          <w:b/>
          <w:bCs/>
          <w:sz w:val="32"/>
          <w:szCs w:val="32"/>
        </w:rPr>
      </w:sdtEndPr>
      <w:sdtContent>
        <w:p>
          <w:pPr>
            <w:bidi w:val="0"/>
            <w:jc w:val="center"/>
            <w:rPr>
              <w:rFonts w:ascii="仿宋" w:hAnsi="仿宋" w:eastAsia="仿宋"/>
              <w:sz w:val="28"/>
              <w:szCs w:val="28"/>
            </w:rPr>
          </w:pPr>
          <w:r>
            <w:rPr>
              <w:rFonts w:hint="eastAsia" w:ascii="仿宋" w:hAnsi="仿宋" w:eastAsia="仿宋" w:cs="仿宋"/>
              <w:b/>
              <w:bCs/>
              <w:sz w:val="44"/>
              <w:szCs w:val="44"/>
            </w:rPr>
            <w:t>目  录</w:t>
          </w:r>
          <w:r>
            <w:rPr>
              <w:rFonts w:ascii="仿宋" w:hAnsi="仿宋" w:eastAsia="仿宋"/>
              <w:sz w:val="28"/>
              <w:szCs w:val="28"/>
            </w:rPr>
            <w:fldChar w:fldCharType="begin"/>
          </w:r>
          <w:r>
            <w:rPr>
              <w:rFonts w:ascii="仿宋" w:hAnsi="仿宋" w:eastAsia="仿宋"/>
              <w:sz w:val="28"/>
              <w:szCs w:val="28"/>
            </w:rPr>
            <w:instrText xml:space="preserve">TOC \o "1-3" \h \u </w:instrText>
          </w:r>
          <w:r>
            <w:rPr>
              <w:rFonts w:ascii="仿宋" w:hAnsi="仿宋" w:eastAsia="仿宋"/>
              <w:sz w:val="28"/>
              <w:szCs w:val="28"/>
            </w:rPr>
            <w:fldChar w:fldCharType="separate"/>
          </w:r>
        </w:p>
        <w:p>
          <w:pPr>
            <w:pStyle w:val="12"/>
            <w:tabs>
              <w:tab w:val="right" w:pos="4800"/>
              <w:tab w:val="right" w:leader="dot" w:pos="8306"/>
            </w:tabs>
            <w:spacing w:line="400" w:lineRule="exact"/>
            <w:rPr>
              <w:rFonts w:ascii="仿宋" w:hAnsi="仿宋" w:eastAsia="仿宋" w:cs="仿宋"/>
              <w:sz w:val="28"/>
              <w:szCs w:val="28"/>
            </w:rPr>
          </w:pPr>
          <w:r>
            <w:fldChar w:fldCharType="begin"/>
          </w:r>
          <w:r>
            <w:instrText xml:space="preserve"> HYPERLINK \l "_Toc4315" </w:instrText>
          </w:r>
          <w:r>
            <w:fldChar w:fldCharType="separate"/>
          </w:r>
          <w:r>
            <w:rPr>
              <w:rFonts w:hint="eastAsia"/>
              <w:lang w:val="en-US" w:eastAsia="zh-CN"/>
            </w:rPr>
            <w:t>一</w:t>
          </w:r>
          <w:r>
            <w:rPr>
              <w:rFonts w:hint="eastAsia" w:ascii="仿宋" w:hAnsi="仿宋" w:eastAsia="仿宋" w:cs="仿宋"/>
              <w:sz w:val="28"/>
              <w:szCs w:val="28"/>
            </w:rPr>
            <w:t>、部门及整体支出概况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_Toc4315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pos="8000"/>
              <w:tab w:val="right" w:leader="dot" w:pos="8306"/>
            </w:tabs>
            <w:spacing w:line="400" w:lineRule="exact"/>
            <w:ind w:left="221"/>
            <w:rPr>
              <w:rFonts w:ascii="仿宋" w:hAnsi="仿宋" w:eastAsia="仿宋" w:cs="仿宋"/>
              <w:sz w:val="28"/>
              <w:szCs w:val="28"/>
            </w:rPr>
          </w:pPr>
          <w:r>
            <w:fldChar w:fldCharType="begin"/>
          </w:r>
          <w:r>
            <w:instrText xml:space="preserve"> HYPERLINK \l "_Toc29758" </w:instrText>
          </w:r>
          <w:r>
            <w:fldChar w:fldCharType="separate"/>
          </w:r>
          <w:r>
            <w:rPr>
              <w:rFonts w:hint="eastAsia" w:ascii="仿宋" w:hAnsi="仿宋" w:eastAsia="仿宋" w:cs="仿宋"/>
              <w:sz w:val="28"/>
              <w:szCs w:val="28"/>
            </w:rPr>
            <w:t>1.1组织架构及人员、主要职责职能、资产等基本情况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_Toc29758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pos="5200"/>
              <w:tab w:val="right" w:leader="dot" w:pos="8306"/>
            </w:tabs>
            <w:spacing w:line="400" w:lineRule="exact"/>
            <w:rPr>
              <w:rFonts w:ascii="仿宋" w:hAnsi="仿宋" w:eastAsia="仿宋" w:cs="仿宋"/>
              <w:sz w:val="28"/>
              <w:szCs w:val="28"/>
            </w:rPr>
          </w:pPr>
          <w:r>
            <w:fldChar w:fldCharType="begin"/>
          </w:r>
          <w:r>
            <w:instrText xml:space="preserve"> HYPERLINK \l "_Toc27361" </w:instrText>
          </w:r>
          <w:r>
            <w:fldChar w:fldCharType="separate"/>
          </w:r>
          <w:r>
            <w:rPr>
              <w:rFonts w:hint="eastAsia" w:ascii="仿宋" w:hAnsi="仿宋" w:eastAsia="仿宋" w:cs="仿宋"/>
              <w:sz w:val="28"/>
              <w:szCs w:val="28"/>
            </w:rPr>
            <w:t>1.2 工作任务及绩效目标</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_Toc27361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"_Toc46" </w:instrText>
          </w:r>
          <w:r>
            <w:fldChar w:fldCharType="separate"/>
          </w:r>
          <w:r>
            <w:rPr>
              <w:rFonts w:hint="eastAsia" w:ascii="仿宋" w:hAnsi="仿宋" w:eastAsia="仿宋" w:cs="仿宋"/>
              <w:sz w:val="28"/>
              <w:szCs w:val="28"/>
            </w:rPr>
            <w:t>1.3预算及执行情况</w:t>
          </w:r>
          <w:r>
            <w:rPr>
              <w:rFonts w:hint="eastAsia" w:ascii="仿宋" w:hAnsi="仿宋" w:eastAsia="仿宋" w:cs="仿宋"/>
              <w:sz w:val="28"/>
              <w:szCs w:val="28"/>
            </w:rPr>
            <w:tab/>
          </w:r>
          <w:r>
            <w:rPr>
              <w:rFonts w:hint="eastAsia" w:ascii="仿宋" w:hAnsi="仿宋" w:eastAsia="仿宋" w:cs="仿宋"/>
              <w:sz w:val="28"/>
              <w:szCs w:val="28"/>
            </w:rPr>
            <w:t>4</w:t>
          </w:r>
          <w:r>
            <w:rPr>
              <w:rFonts w:hint="eastAsia" w:ascii="仿宋" w:hAnsi="仿宋" w:eastAsia="仿宋" w:cs="仿宋"/>
              <w:sz w:val="28"/>
              <w:szCs w:val="28"/>
            </w:rPr>
            <w:fldChar w:fldCharType="end"/>
          </w:r>
        </w:p>
        <w:p>
          <w:pPr>
            <w:pStyle w:val="13"/>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"_Toc18924" </w:instrText>
          </w:r>
          <w:r>
            <w:fldChar w:fldCharType="separate"/>
          </w:r>
          <w:r>
            <w:rPr>
              <w:rFonts w:hint="eastAsia" w:ascii="仿宋" w:hAnsi="仿宋" w:eastAsia="仿宋" w:cs="仿宋"/>
              <w:sz w:val="28"/>
              <w:szCs w:val="28"/>
            </w:rPr>
            <w:t>1.4 履职完成情况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5</w:t>
          </w:r>
          <w:r>
            <w:rPr>
              <w:rFonts w:hint="eastAsia" w:ascii="仿宋" w:hAnsi="仿宋" w:eastAsia="仿宋" w:cs="仿宋"/>
              <w:sz w:val="28"/>
              <w:szCs w:val="28"/>
            </w:rPr>
            <w:fldChar w:fldCharType="end"/>
          </w:r>
        </w:p>
        <w:p>
          <w:pPr>
            <w:pStyle w:val="12"/>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"_Toc7841" </w:instrText>
          </w:r>
          <w:r>
            <w:fldChar w:fldCharType="separate"/>
          </w:r>
          <w:r>
            <w:rPr>
              <w:rFonts w:hint="eastAsia"/>
              <w:lang w:val="en-US" w:eastAsia="zh-CN"/>
            </w:rPr>
            <w:t>二</w:t>
          </w:r>
          <w:r>
            <w:rPr>
              <w:rFonts w:hint="eastAsia" w:ascii="仿宋" w:hAnsi="仿宋" w:eastAsia="仿宋" w:cs="仿宋"/>
              <w:sz w:val="28"/>
              <w:szCs w:val="28"/>
            </w:rPr>
            <w:t>、绩效评价工作情况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lang w:val="en-US" w:eastAsia="zh-CN"/>
            </w:rPr>
            <w:t>..</w:t>
          </w:r>
          <w:r>
            <w:rPr>
              <w:rFonts w:hint="eastAsia" w:ascii="仿宋" w:hAnsi="仿宋" w:eastAsia="仿宋" w:cs="仿宋"/>
              <w:sz w:val="28"/>
              <w:szCs w:val="28"/>
            </w:rPr>
            <w:tab/>
          </w:r>
          <w:r>
            <w:rPr>
              <w:rFonts w:hint="eastAsia" w:ascii="仿宋" w:hAnsi="仿宋" w:eastAsia="仿宋" w:cs="仿宋"/>
              <w:sz w:val="28"/>
              <w:szCs w:val="28"/>
            </w:rPr>
            <w:t>7</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"_Toc9575" </w:instrText>
          </w:r>
          <w:r>
            <w:fldChar w:fldCharType="separate"/>
          </w:r>
          <w:r>
            <w:rPr>
              <w:rFonts w:hint="eastAsia" w:ascii="仿宋" w:hAnsi="仿宋" w:eastAsia="仿宋" w:cs="仿宋"/>
              <w:sz w:val="28"/>
              <w:szCs w:val="28"/>
            </w:rPr>
            <w:t>2.1绩效评价目的及评价依据</w:t>
          </w:r>
          <w:r>
            <w:rPr>
              <w:rFonts w:hint="eastAsia" w:ascii="仿宋" w:hAnsi="仿宋" w:eastAsia="仿宋" w:cs="仿宋"/>
              <w:sz w:val="28"/>
              <w:szCs w:val="28"/>
            </w:rPr>
            <w:tab/>
          </w:r>
          <w:r>
            <w:rPr>
              <w:rFonts w:hint="eastAsia" w:ascii="仿宋" w:hAnsi="仿宋" w:eastAsia="仿宋" w:cs="仿宋"/>
              <w:sz w:val="28"/>
              <w:szCs w:val="28"/>
            </w:rPr>
            <w:t>7</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"_Toc27548" </w:instrText>
          </w:r>
          <w:r>
            <w:fldChar w:fldCharType="separate"/>
          </w:r>
          <w:r>
            <w:rPr>
              <w:rFonts w:hint="eastAsia" w:ascii="仿宋" w:hAnsi="仿宋" w:eastAsia="仿宋" w:cs="仿宋"/>
              <w:sz w:val="28"/>
              <w:szCs w:val="28"/>
            </w:rPr>
            <w:t>2.2绩效评价工作方案制定过程</w:t>
          </w:r>
          <w:r>
            <w:rPr>
              <w:rFonts w:hint="eastAsia" w:ascii="仿宋" w:hAnsi="仿宋" w:eastAsia="仿宋" w:cs="仿宋"/>
              <w:sz w:val="28"/>
              <w:szCs w:val="28"/>
            </w:rPr>
            <w:tab/>
          </w:r>
          <w:r>
            <w:rPr>
              <w:rFonts w:hint="eastAsia" w:ascii="仿宋" w:hAnsi="仿宋" w:eastAsia="仿宋" w:cs="仿宋"/>
              <w:sz w:val="28"/>
              <w:szCs w:val="28"/>
            </w:rPr>
            <w:t>8</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"_Toc1026" </w:instrText>
          </w:r>
          <w:r>
            <w:fldChar w:fldCharType="separate"/>
          </w:r>
          <w:r>
            <w:rPr>
              <w:rFonts w:hint="eastAsia" w:ascii="仿宋" w:hAnsi="仿宋" w:eastAsia="仿宋" w:cs="仿宋"/>
              <w:sz w:val="28"/>
              <w:szCs w:val="28"/>
            </w:rPr>
            <w:t>2.3绩效评价原则、评价方法等</w:t>
          </w:r>
          <w:r>
            <w:rPr>
              <w:rFonts w:hint="eastAsia" w:ascii="仿宋" w:hAnsi="仿宋" w:eastAsia="仿宋" w:cs="仿宋"/>
              <w:sz w:val="28"/>
              <w:szCs w:val="28"/>
            </w:rPr>
            <w:tab/>
          </w:r>
          <w:r>
            <w:rPr>
              <w:rFonts w:hint="eastAsia" w:ascii="仿宋" w:hAnsi="仿宋" w:eastAsia="仿宋" w:cs="仿宋"/>
              <w:sz w:val="28"/>
              <w:szCs w:val="28"/>
            </w:rPr>
            <w:t>9</w:t>
          </w:r>
          <w:r>
            <w:rPr>
              <w:rFonts w:hint="eastAsia" w:ascii="仿宋" w:hAnsi="仿宋" w:eastAsia="仿宋" w:cs="仿宋"/>
              <w:sz w:val="28"/>
              <w:szCs w:val="28"/>
            </w:rPr>
            <w:fldChar w:fldCharType="end"/>
          </w:r>
        </w:p>
        <w:p>
          <w:pPr>
            <w:pStyle w:val="12"/>
            <w:tabs>
              <w:tab w:val="right" w:leader="dot" w:pos="8306"/>
            </w:tabs>
            <w:spacing w:line="400" w:lineRule="exact"/>
            <w:rPr>
              <w:rFonts w:ascii="仿宋" w:hAnsi="仿宋" w:eastAsia="仿宋" w:cs="仿宋"/>
              <w:sz w:val="28"/>
              <w:szCs w:val="28"/>
            </w:rPr>
          </w:pPr>
          <w:r>
            <w:fldChar w:fldCharType="begin"/>
          </w:r>
          <w:r>
            <w:instrText xml:space="preserve"> HYPERLINK \l "_Toc26369" </w:instrText>
          </w:r>
          <w:r>
            <w:fldChar w:fldCharType="separate"/>
          </w:r>
          <w:r>
            <w:rPr>
              <w:rFonts w:hint="eastAsia"/>
              <w:lang w:val="en-US" w:eastAsia="zh-CN"/>
            </w:rPr>
            <w:t>三</w:t>
          </w:r>
          <w:r>
            <w:rPr>
              <w:rFonts w:hint="eastAsia" w:ascii="仿宋" w:hAnsi="仿宋" w:eastAsia="仿宋" w:cs="仿宋"/>
              <w:sz w:val="28"/>
              <w:szCs w:val="28"/>
            </w:rPr>
            <w:t>、具体绩效分析</w:t>
          </w:r>
          <w:r>
            <w:rPr>
              <w:rFonts w:hint="eastAsia" w:ascii="仿宋" w:hAnsi="仿宋" w:eastAsia="仿宋" w:cs="仿宋"/>
              <w:sz w:val="28"/>
              <w:szCs w:val="28"/>
              <w:lang w:val="en-US" w:eastAsia="zh-CN"/>
            </w:rPr>
            <w:t>...</w:t>
          </w:r>
          <w:r>
            <w:rPr>
              <w:rFonts w:hint="eastAsia" w:ascii="仿宋" w:hAnsi="仿宋" w:eastAsia="仿宋" w:cs="仿宋"/>
              <w:sz w:val="28"/>
              <w:szCs w:val="28"/>
            </w:rPr>
            <w:tab/>
          </w:r>
          <w:r>
            <w:rPr>
              <w:rFonts w:hint="eastAsia" w:ascii="仿宋" w:hAnsi="仿宋" w:eastAsia="仿宋" w:cs="仿宋"/>
              <w:sz w:val="28"/>
              <w:szCs w:val="28"/>
            </w:rPr>
            <w:t>11</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"_Toc26962" </w:instrText>
          </w:r>
          <w:r>
            <w:fldChar w:fldCharType="separate"/>
          </w:r>
          <w:r>
            <w:rPr>
              <w:rFonts w:hint="eastAsia" w:ascii="仿宋" w:hAnsi="仿宋" w:eastAsia="仿宋" w:cs="仿宋"/>
              <w:sz w:val="28"/>
              <w:szCs w:val="28"/>
            </w:rPr>
            <w:t>3.1投入指标类</w:t>
          </w:r>
          <w:r>
            <w:rPr>
              <w:rFonts w:hint="eastAsia" w:ascii="仿宋" w:hAnsi="仿宋" w:eastAsia="仿宋" w:cs="仿宋"/>
              <w:sz w:val="28"/>
              <w:szCs w:val="28"/>
            </w:rPr>
            <w:tab/>
          </w:r>
          <w:r>
            <w:rPr>
              <w:rFonts w:hint="eastAsia" w:ascii="仿宋" w:hAnsi="仿宋" w:eastAsia="仿宋" w:cs="仿宋"/>
              <w:sz w:val="28"/>
              <w:szCs w:val="28"/>
            </w:rPr>
            <w:t>11</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"_Toc19807" </w:instrText>
          </w:r>
          <w:r>
            <w:fldChar w:fldCharType="separate"/>
          </w:r>
          <w:r>
            <w:rPr>
              <w:rFonts w:hint="eastAsia" w:ascii="仿宋" w:hAnsi="仿宋" w:eastAsia="仿宋" w:cs="仿宋"/>
              <w:sz w:val="28"/>
              <w:szCs w:val="28"/>
            </w:rPr>
            <w:t>3.2过程指标类</w:t>
          </w:r>
          <w:r>
            <w:rPr>
              <w:rFonts w:hint="eastAsia" w:ascii="仿宋" w:hAnsi="仿宋" w:eastAsia="仿宋" w:cs="仿宋"/>
              <w:sz w:val="28"/>
              <w:szCs w:val="28"/>
            </w:rPr>
            <w:tab/>
          </w:r>
          <w:r>
            <w:rPr>
              <w:rFonts w:hint="eastAsia" w:ascii="仿宋" w:hAnsi="仿宋" w:eastAsia="仿宋" w:cs="仿宋"/>
              <w:sz w:val="28"/>
              <w:szCs w:val="28"/>
            </w:rPr>
            <w:t>15</w:t>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"_Toc29993" </w:instrText>
          </w:r>
          <w:r>
            <w:fldChar w:fldCharType="separate"/>
          </w:r>
          <w:r>
            <w:rPr>
              <w:rFonts w:hint="eastAsia" w:ascii="仿宋" w:hAnsi="仿宋" w:eastAsia="仿宋" w:cs="仿宋"/>
              <w:sz w:val="28"/>
              <w:szCs w:val="28"/>
            </w:rPr>
            <w:t>3.3产出指标类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_Toc29993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leader="dot" w:pos="8306"/>
            </w:tabs>
            <w:spacing w:line="400" w:lineRule="exact"/>
            <w:ind w:left="221"/>
            <w:rPr>
              <w:rFonts w:ascii="仿宋" w:hAnsi="仿宋" w:eastAsia="仿宋" w:cs="仿宋"/>
              <w:sz w:val="28"/>
              <w:szCs w:val="28"/>
            </w:rPr>
          </w:pPr>
          <w:r>
            <w:fldChar w:fldCharType="begin"/>
          </w:r>
          <w:r>
            <w:instrText xml:space="preserve"> HYPERLINK \l "_Toc815" </w:instrText>
          </w:r>
          <w:r>
            <w:fldChar w:fldCharType="separate"/>
          </w:r>
          <w:r>
            <w:rPr>
              <w:rFonts w:hint="eastAsia" w:ascii="仿宋" w:hAnsi="仿宋" w:eastAsia="仿宋" w:cs="仿宋"/>
              <w:sz w:val="28"/>
              <w:szCs w:val="28"/>
            </w:rPr>
            <w:t>3.4效果指标类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_Toc815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s>
            <w:spacing w:line="400" w:lineRule="exact"/>
            <w:rPr>
              <w:rFonts w:ascii="仿宋" w:hAnsi="仿宋" w:eastAsia="仿宋" w:cs="仿宋"/>
              <w:sz w:val="28"/>
              <w:szCs w:val="28"/>
            </w:rPr>
          </w:pPr>
          <w:r>
            <w:fldChar w:fldCharType="begin"/>
          </w:r>
          <w:r>
            <w:instrText xml:space="preserve"> HYPERLINK \l "_Toc1375" </w:instrText>
          </w:r>
          <w:r>
            <w:fldChar w:fldCharType="separate"/>
          </w:r>
          <w:r>
            <w:rPr>
              <w:rFonts w:hint="eastAsia"/>
              <w:lang w:val="en-US" w:eastAsia="zh-CN"/>
            </w:rPr>
            <w:t>四</w:t>
          </w:r>
          <w:r>
            <w:rPr>
              <w:rFonts w:hint="eastAsia" w:ascii="仿宋" w:hAnsi="仿宋" w:eastAsia="仿宋" w:cs="仿宋"/>
              <w:sz w:val="28"/>
              <w:szCs w:val="28"/>
            </w:rPr>
            <w:t>、绩效评价结论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_Toc1375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s>
            <w:spacing w:line="400" w:lineRule="exact"/>
            <w:rPr>
              <w:rFonts w:ascii="仿宋" w:hAnsi="仿宋" w:eastAsia="仿宋" w:cs="仿宋"/>
              <w:sz w:val="28"/>
              <w:szCs w:val="28"/>
            </w:rPr>
          </w:pPr>
          <w:r>
            <w:fldChar w:fldCharType="begin"/>
          </w:r>
          <w:r>
            <w:instrText xml:space="preserve"> HYPERLINK \l "_Toc1207" </w:instrText>
          </w:r>
          <w:r>
            <w:fldChar w:fldCharType="separate"/>
          </w:r>
          <w:r>
            <w:rPr>
              <w:rFonts w:hint="eastAsia"/>
              <w:lang w:val="en-US" w:eastAsia="zh-CN"/>
            </w:rPr>
            <w:t>五</w:t>
          </w:r>
          <w:r>
            <w:rPr>
              <w:rFonts w:hint="eastAsia" w:ascii="仿宋" w:hAnsi="仿宋" w:eastAsia="仿宋" w:cs="仿宋"/>
              <w:sz w:val="28"/>
              <w:szCs w:val="28"/>
            </w:rPr>
            <w:t>、存在的问题和建议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_Toc1207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leader="dot" w:pos="8306"/>
            </w:tabs>
            <w:spacing w:line="400" w:lineRule="exact"/>
            <w:rPr>
              <w:rFonts w:ascii="仿宋" w:hAnsi="仿宋" w:eastAsia="仿宋" w:cs="仿宋"/>
              <w:sz w:val="28"/>
              <w:szCs w:val="28"/>
            </w:rPr>
          </w:pPr>
          <w:r>
            <w:fldChar w:fldCharType="begin"/>
          </w:r>
          <w:r>
            <w:instrText xml:space="preserve"> HYPERLINK \l "_Toc5351" </w:instrText>
          </w:r>
          <w:r>
            <w:fldChar w:fldCharType="separate"/>
          </w:r>
          <w:r>
            <w:rPr>
              <w:rFonts w:hint="eastAsia" w:ascii="仿宋" w:hAnsi="仿宋" w:eastAsia="仿宋" w:cs="仿宋"/>
              <w:sz w:val="28"/>
              <w:szCs w:val="28"/>
            </w:rPr>
            <w:t>5.1存在的问题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_Toc5351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3"/>
            <w:tabs>
              <w:tab w:val="right" w:leader="dot" w:pos="8306"/>
            </w:tabs>
            <w:spacing w:line="400" w:lineRule="exact"/>
            <w:ind w:left="221"/>
            <w:rPr>
              <w:rFonts w:ascii="仿宋" w:hAnsi="仿宋" w:eastAsia="仿宋" w:cs="仿宋"/>
              <w:sz w:val="28"/>
              <w:szCs w:val="28"/>
            </w:rPr>
          </w:pPr>
          <w:r>
            <w:fldChar w:fldCharType="begin"/>
          </w:r>
          <w:r>
            <w:instrText xml:space="preserve"> HYPERLINK \l "_Toc27799" </w:instrText>
          </w:r>
          <w:r>
            <w:fldChar w:fldCharType="separate"/>
          </w:r>
          <w:r>
            <w:rPr>
              <w:rFonts w:hint="eastAsia" w:ascii="仿宋" w:hAnsi="仿宋" w:eastAsia="仿宋" w:cs="仿宋"/>
              <w:sz w:val="28"/>
              <w:szCs w:val="28"/>
            </w:rPr>
            <w:t>5.2改进措施和建议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_Toc27799 \h </w:instrText>
          </w:r>
          <w:r>
            <w:rPr>
              <w:rFonts w:hint="eastAsia" w:ascii="仿宋" w:hAnsi="仿宋" w:eastAsia="仿宋" w:cs="仿宋"/>
              <w:sz w:val="28"/>
              <w:szCs w:val="28"/>
            </w:rPr>
            <w:fldChar w:fldCharType="separate"/>
          </w:r>
          <w:r>
            <w:rPr>
              <w:rFonts w:hint="eastAsia" w:ascii="仿宋" w:hAnsi="仿宋" w:eastAsia="仿宋" w:cs="仿宋"/>
              <w:sz w:val="28"/>
              <w:szCs w:val="28"/>
            </w:rPr>
            <w:t>23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s>
            <w:spacing w:line="400" w:lineRule="exact"/>
            <w:rPr>
              <w:rFonts w:ascii="仿宋" w:hAnsi="仿宋" w:eastAsia="仿宋" w:cs="仿宋"/>
              <w:sz w:val="28"/>
              <w:szCs w:val="28"/>
            </w:rPr>
          </w:pPr>
          <w:r>
            <w:fldChar w:fldCharType="begin"/>
          </w:r>
          <w:r>
            <w:instrText xml:space="preserve"> HYPERLINK \l "_Toc9940" </w:instrText>
          </w:r>
          <w:r>
            <w:fldChar w:fldCharType="separate"/>
          </w:r>
          <w:r>
            <w:rPr>
              <w:rFonts w:hint="eastAsia"/>
              <w:lang w:val="en-US" w:eastAsia="zh-CN"/>
            </w:rPr>
            <w:t>六</w:t>
          </w:r>
          <w:r>
            <w:rPr>
              <w:rFonts w:hint="eastAsia" w:ascii="仿宋" w:hAnsi="仿宋" w:eastAsia="仿宋" w:cs="仿宋"/>
              <w:sz w:val="28"/>
              <w:szCs w:val="28"/>
            </w:rPr>
            <w:t>、其他事项说明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_Toc9940 \h </w:instrText>
          </w:r>
          <w:r>
            <w:rPr>
              <w:rFonts w:hint="eastAsia" w:ascii="仿宋" w:hAnsi="仿宋" w:eastAsia="仿宋" w:cs="仿宋"/>
              <w:sz w:val="28"/>
              <w:szCs w:val="28"/>
            </w:rPr>
            <w:fldChar w:fldCharType="separate"/>
          </w:r>
          <w:r>
            <w:rPr>
              <w:rFonts w:hint="eastAsia" w:ascii="仿宋" w:hAnsi="仿宋" w:eastAsia="仿宋" w:cs="仿宋"/>
              <w:sz w:val="28"/>
              <w:szCs w:val="28"/>
            </w:rPr>
            <w:t>24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s>
            <w:spacing w:line="400" w:lineRule="exact"/>
            <w:rPr>
              <w:rFonts w:ascii="仿宋" w:hAnsi="仿宋" w:eastAsia="仿宋" w:cs="仿宋"/>
              <w:sz w:val="28"/>
              <w:szCs w:val="28"/>
            </w:rPr>
          </w:pPr>
          <w:r>
            <w:rPr>
              <w:rFonts w:hint="eastAsia" w:ascii="仿宋" w:hAnsi="仿宋" w:eastAsia="仿宋" w:cs="仿宋"/>
              <w:sz w:val="28"/>
              <w:szCs w:val="28"/>
              <w:lang w:val="en-US" w:eastAsia="zh-CN"/>
            </w:rPr>
            <w:t>七</w:t>
          </w:r>
          <w:r>
            <w:rPr>
              <w:rFonts w:hint="eastAsia" w:ascii="仿宋" w:hAnsi="仿宋" w:eastAsia="仿宋" w:cs="仿宋"/>
              <w:sz w:val="28"/>
              <w:szCs w:val="28"/>
            </w:rPr>
            <w:t>、附件1：2022年度赣州蓉江新区高校园区管理处整体支出绩效评价指标体系及评分表</w:t>
          </w:r>
        </w:p>
        <w:p>
          <w:pPr>
            <w:pStyle w:val="12"/>
            <w:tabs>
              <w:tab w:val="right" w:leader="dot" w:pos="8306"/>
            </w:tabs>
            <w:spacing w:line="400" w:lineRule="exact"/>
            <w:ind w:firstLine="560" w:firstLineChars="200"/>
            <w:rPr>
              <w:rFonts w:ascii="仿宋" w:hAnsi="仿宋" w:eastAsia="仿宋"/>
              <w:sz w:val="28"/>
              <w:szCs w:val="28"/>
            </w:rPr>
          </w:pPr>
          <w:r>
            <w:rPr>
              <w:rFonts w:hint="eastAsia" w:ascii="仿宋" w:hAnsi="仿宋" w:eastAsia="仿宋" w:cs="仿宋"/>
              <w:sz w:val="28"/>
              <w:szCs w:val="28"/>
            </w:rPr>
            <w:t>附件2：2022年度赣州蓉江新区高校园区管理处整体支出绩效评价满意度调查问卷（样卷）</w:t>
          </w:r>
        </w:p>
        <w:p>
          <w:pPr>
            <w:spacing w:line="400" w:lineRule="exact"/>
            <w:sectPr>
              <w:pgSz w:w="11906" w:h="16838"/>
              <w:pgMar w:top="1440" w:right="1417" w:bottom="1440" w:left="1417" w:header="851" w:footer="992" w:gutter="0"/>
              <w:cols w:space="0" w:num="1"/>
              <w:titlePg/>
              <w:rtlGutter w:val="0"/>
              <w:docGrid w:type="lines" w:linePitch="312" w:charSpace="0"/>
            </w:sectPr>
          </w:pPr>
          <w:r>
            <w:rPr>
              <w:rFonts w:ascii="仿宋" w:hAnsi="仿宋" w:eastAsia="仿宋"/>
              <w:sz w:val="28"/>
              <w:szCs w:val="28"/>
            </w:rPr>
            <w:fldChar w:fldCharType="end"/>
          </w:r>
        </w:p>
      </w:sdtContent>
    </w:sdt>
    <w:p>
      <w:pPr>
        <w:rPr>
          <w:rFonts w:ascii="仿宋" w:hAnsi="仿宋" w:eastAsia="仿宋"/>
          <w:sz w:val="28"/>
          <w:szCs w:val="28"/>
        </w:rPr>
        <w:sectPr>
          <w:type w:val="continuous"/>
          <w:pgSz w:w="11906" w:h="16838"/>
          <w:pgMar w:top="1440" w:right="1417" w:bottom="1440" w:left="1417" w:header="851" w:footer="992" w:gutter="0"/>
          <w:cols w:space="0" w:num="1"/>
          <w:titlePg/>
          <w:rtlGutter w:val="0"/>
          <w:docGrid w:type="lines" w:linePitch="312" w:charSpace="0"/>
        </w:sectPr>
      </w:pPr>
    </w:p>
    <w:p>
      <w:pPr>
        <w:bidi w:val="0"/>
        <w:jc w:val="center"/>
        <w:rPr>
          <w:rFonts w:hint="eastAsia" w:ascii="仿宋" w:hAnsi="仿宋" w:eastAsia="仿宋" w:cs="仿宋"/>
          <w:b/>
          <w:bCs/>
          <w:sz w:val="44"/>
          <w:szCs w:val="44"/>
        </w:rPr>
      </w:pPr>
      <w:bookmarkStart w:id="16" w:name="_Toc12867"/>
      <w:bookmarkStart w:id="17" w:name="_Toc4504"/>
      <w:bookmarkStart w:id="18" w:name="_Toc20851"/>
      <w:r>
        <w:rPr>
          <w:rFonts w:hint="eastAsia" w:ascii="仿宋" w:hAnsi="仿宋" w:eastAsia="仿宋" w:cs="仿宋"/>
          <w:b/>
          <w:bCs/>
          <w:sz w:val="44"/>
          <w:szCs w:val="44"/>
        </w:rPr>
        <w:t>赣州蓉江新区高校园区管理处</w:t>
      </w:r>
    </w:p>
    <w:p>
      <w:pPr>
        <w:bidi w:val="0"/>
        <w:jc w:val="center"/>
        <w:rPr>
          <w:rFonts w:hint="eastAsia" w:ascii="仿宋" w:hAnsi="仿宋" w:eastAsia="仿宋" w:cs="仿宋"/>
          <w:b/>
          <w:bCs/>
          <w:sz w:val="44"/>
          <w:szCs w:val="44"/>
        </w:rPr>
      </w:pPr>
      <w:r>
        <w:rPr>
          <w:rFonts w:hint="eastAsia" w:ascii="仿宋" w:hAnsi="仿宋" w:eastAsia="仿宋" w:cs="仿宋"/>
          <w:b/>
          <w:bCs/>
          <w:sz w:val="44"/>
          <w:szCs w:val="44"/>
        </w:rPr>
        <w:t>2022年度部门整体支出绩效评价报告</w:t>
      </w:r>
      <w:bookmarkEnd w:id="16"/>
      <w:bookmarkEnd w:id="17"/>
      <w:bookmarkEnd w:id="18"/>
    </w:p>
    <w:p>
      <w:pPr>
        <w:jc w:val="center"/>
      </w:pPr>
      <w:r>
        <w:rPr>
          <w:rFonts w:hint="eastAsia" w:cs="仿宋_GB2312" w:asciiTheme="majorEastAsia" w:hAnsiTheme="majorEastAsia" w:eastAsiaTheme="majorEastAsia"/>
          <w:sz w:val="28"/>
          <w:szCs w:val="28"/>
          <w:u w:val="none"/>
        </w:rPr>
        <w:t>国众联咨报字（2024)第5-0018号</w:t>
      </w:r>
    </w:p>
    <w:p>
      <w:pPr>
        <w:spacing w:line="540" w:lineRule="exact"/>
        <w:rPr>
          <w:rFonts w:ascii="仿宋" w:hAnsi="仿宋" w:eastAsia="仿宋"/>
          <w:sz w:val="32"/>
          <w:szCs w:val="32"/>
        </w:rPr>
      </w:pPr>
      <w:r>
        <w:rPr>
          <w:rFonts w:hint="eastAsia" w:ascii="仿宋" w:hAnsi="仿宋" w:eastAsia="仿宋"/>
          <w:sz w:val="32"/>
          <w:szCs w:val="32"/>
        </w:rPr>
        <w:t>赣州蓉江新区财政局：</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高校园区管理处2022年度部门整体支出的绩效评价工作。本次绩效评价工作严格依照相关法律法规的规定，遵循“独立、客观、公正、科学”的原则进行。</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国众联资产评估土地房地产估价有限公司接受委托任务后于2023年10月开始，抽调精干人员力量组成绩效评价组，精心制定绩效评价方案，通过访谈、查阅文件文献、问卷调查、现场调研等方式，充分了解和掌握了评价对象的相关情况后，按照绩效评价指标体系，对部门整体支出取得的成效与经验、存在的问题进行归纳总结，并提出相关建议，得出评价结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绩效评价组以绩效评价指标体系要求为基础进行资料收集，收集了部门整体支出实施过程中的各项资料，对部门整体支出单位相关负责人进行访谈、开展部门服务对象的满意度调查工作等，在此基础上形成《赣州蓉江新区高校园区管理处2022年度部门整体支出绩效评价报告》。</w:t>
      </w:r>
    </w:p>
    <w:p>
      <w:pPr>
        <w:pStyle w:val="2"/>
        <w:bidi w:val="0"/>
        <w:jc w:val="left"/>
        <w:rPr>
          <w:rFonts w:ascii="仿宋" w:hAnsi="仿宋" w:eastAsia="仿宋" w:cs="仿宋"/>
          <w:b/>
          <w:sz w:val="32"/>
          <w:szCs w:val="32"/>
        </w:rPr>
      </w:pPr>
      <w:bookmarkStart w:id="19" w:name="_Toc4315"/>
      <w:r>
        <w:rPr>
          <w:rFonts w:ascii="仿宋" w:hAnsi="仿宋" w:eastAsia="仿宋"/>
          <w:sz w:val="32"/>
          <w:szCs w:val="32"/>
        </w:rPr>
        <w:fldChar w:fldCharType="begin"/>
      </w:r>
      <w:r>
        <w:rPr>
          <w:rFonts w:ascii="仿宋" w:hAnsi="仿宋" w:eastAsia="仿宋"/>
          <w:sz w:val="32"/>
          <w:szCs w:val="32"/>
        </w:rPr>
        <w:instrText xml:space="preserve"> HYPERLINK \l "_Toc123122489"</w:instrText>
      </w:r>
      <w:r>
        <w:rPr>
          <w:rFonts w:ascii="仿宋" w:hAnsi="仿宋" w:eastAsia="仿宋"/>
          <w:sz w:val="32"/>
          <w:szCs w:val="32"/>
        </w:rPr>
        <w:fldChar w:fldCharType="separate"/>
      </w:r>
      <w:r>
        <w:rPr>
          <w:rFonts w:hint="eastAsia" w:ascii="仿宋" w:hAnsi="仿宋" w:eastAsia="仿宋"/>
          <w:sz w:val="32"/>
          <w:szCs w:val="32"/>
          <w:lang w:val="en-US" w:eastAsia="zh-CN"/>
        </w:rPr>
        <w:t>一</w:t>
      </w:r>
      <w:r>
        <w:rPr>
          <w:rFonts w:ascii="仿宋" w:hAnsi="仿宋" w:eastAsia="仿宋" w:cs="仿宋"/>
          <w:b/>
          <w:sz w:val="32"/>
          <w:szCs w:val="32"/>
        </w:rPr>
        <w:t>、部门</w:t>
      </w:r>
      <w:r>
        <w:rPr>
          <w:rFonts w:hint="eastAsia" w:ascii="仿宋" w:hAnsi="仿宋" w:eastAsia="仿宋" w:cs="仿宋"/>
          <w:b/>
          <w:sz w:val="32"/>
          <w:szCs w:val="32"/>
        </w:rPr>
        <w:t>及整体支出</w:t>
      </w:r>
      <w:r>
        <w:rPr>
          <w:rFonts w:ascii="仿宋" w:hAnsi="仿宋" w:eastAsia="仿宋" w:cs="仿宋"/>
          <w:b/>
          <w:sz w:val="32"/>
          <w:szCs w:val="32"/>
        </w:rPr>
        <w:t>概况</w:t>
      </w:r>
      <w:r>
        <w:rPr>
          <w:rFonts w:ascii="仿宋" w:hAnsi="仿宋" w:eastAsia="仿宋" w:cs="仿宋"/>
          <w:b/>
          <w:sz w:val="32"/>
          <w:szCs w:val="32"/>
        </w:rPr>
        <w:tab/>
      </w:r>
      <w:r>
        <w:rPr>
          <w:rFonts w:ascii="仿宋" w:hAnsi="仿宋" w:eastAsia="仿宋" w:cs="仿宋"/>
          <w:b/>
          <w:sz w:val="32"/>
          <w:szCs w:val="32"/>
        </w:rPr>
        <w:fldChar w:fldCharType="end"/>
      </w:r>
      <w:bookmarkEnd w:id="19"/>
    </w:p>
    <w:p>
      <w:pPr>
        <w:pStyle w:val="3"/>
        <w:bidi w:val="0"/>
        <w:rPr>
          <w:rFonts w:ascii="仿宋" w:hAnsi="仿宋" w:eastAsia="仿宋" w:cs="仿宋"/>
          <w:b/>
          <w:sz w:val="32"/>
          <w:szCs w:val="32"/>
        </w:rPr>
      </w:pPr>
      <w:bookmarkStart w:id="20" w:name="_Toc29758"/>
      <w:r>
        <w:rPr>
          <w:rFonts w:hint="eastAsia" w:ascii="仿宋" w:hAnsi="仿宋" w:eastAsia="仿宋" w:cs="仿宋"/>
          <w:b/>
          <w:sz w:val="32"/>
          <w:szCs w:val="32"/>
        </w:rPr>
        <w:t>1.1</w:t>
      </w:r>
      <w:r>
        <w:fldChar w:fldCharType="begin"/>
      </w:r>
      <w:r>
        <w:instrText xml:space="preserve"> HYPERLINK \l "_Toc123122490" </w:instrText>
      </w:r>
      <w:r>
        <w:fldChar w:fldCharType="separate"/>
      </w:r>
      <w:r>
        <w:rPr>
          <w:rFonts w:ascii="仿宋" w:hAnsi="仿宋" w:eastAsia="仿宋" w:cs="仿宋"/>
          <w:b/>
          <w:sz w:val="32"/>
          <w:szCs w:val="32"/>
        </w:rPr>
        <w:t>组织架构及人员、</w:t>
      </w:r>
      <w:r>
        <w:rPr>
          <w:rFonts w:hint="eastAsia" w:ascii="仿宋" w:hAnsi="仿宋" w:eastAsia="仿宋" w:cs="仿宋"/>
          <w:b/>
          <w:sz w:val="32"/>
          <w:szCs w:val="32"/>
        </w:rPr>
        <w:t>主要</w:t>
      </w:r>
      <w:r>
        <w:rPr>
          <w:rFonts w:ascii="仿宋" w:hAnsi="仿宋" w:eastAsia="仿宋" w:cs="仿宋"/>
          <w:b/>
          <w:sz w:val="32"/>
          <w:szCs w:val="32"/>
        </w:rPr>
        <w:t>职责职能、资产等基本情况</w:t>
      </w:r>
      <w:r>
        <w:rPr>
          <w:rFonts w:ascii="仿宋" w:hAnsi="仿宋" w:eastAsia="仿宋" w:cs="仿宋"/>
          <w:b/>
          <w:sz w:val="32"/>
          <w:szCs w:val="32"/>
        </w:rPr>
        <w:tab/>
      </w:r>
      <w:r>
        <w:rPr>
          <w:rFonts w:ascii="仿宋" w:hAnsi="仿宋" w:eastAsia="仿宋" w:cs="仿宋"/>
          <w:b/>
          <w:sz w:val="32"/>
          <w:szCs w:val="32"/>
        </w:rPr>
        <w:fldChar w:fldCharType="end"/>
      </w:r>
      <w:bookmarkEnd w:id="20"/>
    </w:p>
    <w:p>
      <w:pPr>
        <w:pStyle w:val="4"/>
        <w:bidi w:val="0"/>
        <w:rPr>
          <w:rFonts w:ascii="仿宋" w:hAnsi="仿宋" w:eastAsia="仿宋"/>
          <w:b/>
          <w:sz w:val="32"/>
          <w:szCs w:val="32"/>
        </w:rPr>
      </w:pPr>
      <w:bookmarkStart w:id="21" w:name="_Toc28164"/>
      <w:bookmarkStart w:id="22" w:name="_Toc11754"/>
      <w:r>
        <w:rPr>
          <w:rFonts w:hint="eastAsia" w:ascii="仿宋" w:hAnsi="仿宋" w:eastAsia="仿宋" w:cs="仿宋"/>
          <w:b/>
          <w:sz w:val="32"/>
          <w:szCs w:val="32"/>
        </w:rPr>
        <w:t>1.1.1</w:t>
      </w:r>
      <w:r>
        <w:fldChar w:fldCharType="begin"/>
      </w:r>
      <w:r>
        <w:instrText xml:space="preserve"> HYPERLINK \l "_Toc123122491" </w:instrText>
      </w:r>
      <w:r>
        <w:fldChar w:fldCharType="separate"/>
      </w:r>
      <w:r>
        <w:rPr>
          <w:rFonts w:ascii="仿宋" w:hAnsi="仿宋" w:eastAsia="仿宋" w:cs="仿宋"/>
          <w:b/>
          <w:sz w:val="32"/>
          <w:szCs w:val="32"/>
        </w:rPr>
        <w:t>机构情况及人员情况</w:t>
      </w:r>
      <w:r>
        <w:rPr>
          <w:rFonts w:ascii="仿宋" w:hAnsi="仿宋" w:eastAsia="仿宋" w:cs="仿宋"/>
          <w:b/>
          <w:sz w:val="32"/>
          <w:szCs w:val="32"/>
        </w:rPr>
        <w:tab/>
      </w:r>
      <w:r>
        <w:rPr>
          <w:rFonts w:ascii="仿宋" w:hAnsi="仿宋" w:eastAsia="仿宋" w:cs="仿宋"/>
          <w:b/>
          <w:sz w:val="32"/>
          <w:szCs w:val="32"/>
        </w:rPr>
        <w:fldChar w:fldCharType="end"/>
      </w:r>
      <w:bookmarkEnd w:id="21"/>
      <w:bookmarkEnd w:id="22"/>
    </w:p>
    <w:p>
      <w:pPr>
        <w:pStyle w:val="14"/>
        <w:spacing w:line="520" w:lineRule="exact"/>
        <w:ind w:firstLine="539"/>
        <w:textAlignment w:val="baseline"/>
        <w:rPr>
          <w:rFonts w:ascii="仿宋" w:hAnsi="仿宋" w:eastAsia="仿宋" w:cstheme="minorBidi"/>
          <w:kern w:val="2"/>
          <w:sz w:val="32"/>
          <w:szCs w:val="32"/>
        </w:rPr>
      </w:pPr>
      <w:r>
        <w:rPr>
          <w:rFonts w:hint="eastAsia" w:ascii="仿宋" w:hAnsi="仿宋" w:eastAsia="仿宋" w:cstheme="minorBidi"/>
          <w:kern w:val="2"/>
          <w:sz w:val="32"/>
          <w:szCs w:val="32"/>
        </w:rPr>
        <w:t>赣州蓉江新区高校园区管理处（以下简称“高校园区管理处”）是赣州蓉江新区的基层事业单位。经机构管理部门核定编制人数为10人，其中：事业编制10人。年末在职人数10人、其他人员88人。</w:t>
      </w:r>
    </w:p>
    <w:p>
      <w:pPr>
        <w:pStyle w:val="4"/>
        <w:bidi w:val="0"/>
        <w:rPr>
          <w:rFonts w:ascii="仿宋" w:hAnsi="仿宋" w:eastAsia="仿宋" w:cs="仿宋"/>
          <w:b/>
          <w:sz w:val="32"/>
          <w:szCs w:val="32"/>
        </w:rPr>
      </w:pPr>
      <w:bookmarkStart w:id="23" w:name="_Toc32406"/>
      <w:bookmarkStart w:id="24" w:name="_Toc18570"/>
      <w:r>
        <w:rPr>
          <w:rFonts w:ascii="仿宋" w:hAnsi="仿宋" w:eastAsia="仿宋"/>
          <w:sz w:val="32"/>
          <w:szCs w:val="32"/>
        </w:rPr>
        <w:fldChar w:fldCharType="begin"/>
      </w:r>
      <w:r>
        <w:rPr>
          <w:rFonts w:ascii="仿宋" w:hAnsi="仿宋" w:eastAsia="仿宋"/>
          <w:sz w:val="32"/>
          <w:szCs w:val="32"/>
        </w:rPr>
        <w:instrText xml:space="preserve"> HYPERLINK \l "_Toc123122492"</w:instrText>
      </w:r>
      <w:r>
        <w:rPr>
          <w:rFonts w:ascii="仿宋" w:hAnsi="仿宋" w:eastAsia="仿宋"/>
          <w:sz w:val="32"/>
          <w:szCs w:val="32"/>
        </w:rPr>
        <w:fldChar w:fldCharType="separate"/>
      </w:r>
      <w:r>
        <w:rPr>
          <w:rFonts w:hint="eastAsia" w:ascii="仿宋" w:hAnsi="仿宋" w:eastAsia="仿宋" w:cs="仿宋"/>
          <w:b/>
          <w:sz w:val="32"/>
          <w:szCs w:val="32"/>
        </w:rPr>
        <w:t>1.1.2主要</w:t>
      </w:r>
      <w:r>
        <w:rPr>
          <w:rFonts w:ascii="仿宋" w:hAnsi="仿宋" w:eastAsia="仿宋" w:cs="仿宋"/>
          <w:b/>
          <w:sz w:val="32"/>
          <w:szCs w:val="32"/>
        </w:rPr>
        <w:t>职责职能</w:t>
      </w:r>
      <w:r>
        <w:rPr>
          <w:rFonts w:ascii="仿宋" w:hAnsi="仿宋" w:eastAsia="仿宋" w:cs="仿宋"/>
          <w:b/>
          <w:sz w:val="32"/>
          <w:szCs w:val="32"/>
        </w:rPr>
        <w:tab/>
      </w:r>
      <w:r>
        <w:rPr>
          <w:rFonts w:ascii="仿宋" w:hAnsi="仿宋" w:eastAsia="仿宋" w:cs="仿宋"/>
          <w:b/>
          <w:sz w:val="32"/>
          <w:szCs w:val="32"/>
        </w:rPr>
        <w:fldChar w:fldCharType="end"/>
      </w:r>
      <w:bookmarkEnd w:id="23"/>
      <w:bookmarkEnd w:id="24"/>
    </w:p>
    <w:p>
      <w:pPr>
        <w:pStyle w:val="5"/>
        <w:spacing w:line="520" w:lineRule="exact"/>
        <w:ind w:firstLine="640"/>
        <w:rPr>
          <w:rFonts w:ascii="仿宋" w:hAnsi="仿宋" w:eastAsia="仿宋"/>
          <w:sz w:val="32"/>
          <w:szCs w:val="32"/>
        </w:rPr>
      </w:pPr>
      <w:r>
        <w:rPr>
          <w:rFonts w:hint="eastAsia" w:ascii="仿宋" w:hAnsi="仿宋" w:eastAsia="仿宋"/>
          <w:sz w:val="32"/>
          <w:szCs w:val="32"/>
        </w:rPr>
        <w:t>负责高校园区管理处坪路村、新路村、武陵村、坝上村、当塘村、虎形村和箩渡村范围内的政治、经济和社会事务管理等工作；负责高校区域社会事务管理等工作。</w:t>
      </w:r>
    </w:p>
    <w:p>
      <w:pPr>
        <w:pStyle w:val="4"/>
        <w:bidi w:val="0"/>
        <w:rPr>
          <w:rFonts w:ascii="仿宋" w:hAnsi="仿宋" w:eastAsia="仿宋"/>
          <w:b/>
          <w:sz w:val="32"/>
          <w:szCs w:val="32"/>
        </w:rPr>
      </w:pPr>
      <w:bookmarkStart w:id="25" w:name="_Toc22051"/>
      <w:bookmarkStart w:id="26" w:name="_Toc16862"/>
      <w:r>
        <w:rPr>
          <w:rFonts w:ascii="仿宋" w:hAnsi="仿宋" w:eastAsia="仿宋"/>
          <w:sz w:val="32"/>
          <w:szCs w:val="32"/>
        </w:rPr>
        <w:fldChar w:fldCharType="begin"/>
      </w:r>
      <w:r>
        <w:rPr>
          <w:rFonts w:ascii="仿宋" w:hAnsi="仿宋" w:eastAsia="仿宋"/>
          <w:sz w:val="32"/>
          <w:szCs w:val="32"/>
        </w:rPr>
        <w:instrText xml:space="preserve"> HYPERLINK \l "_Toc123122493"</w:instrText>
      </w:r>
      <w:r>
        <w:rPr>
          <w:rFonts w:ascii="仿宋" w:hAnsi="仿宋" w:eastAsia="仿宋"/>
          <w:sz w:val="32"/>
          <w:szCs w:val="32"/>
        </w:rPr>
        <w:fldChar w:fldCharType="separate"/>
      </w:r>
      <w:r>
        <w:rPr>
          <w:rFonts w:hint="eastAsia" w:ascii="仿宋" w:hAnsi="仿宋" w:eastAsia="仿宋" w:cs="仿宋"/>
          <w:b/>
          <w:sz w:val="32"/>
          <w:szCs w:val="32"/>
        </w:rPr>
        <w:t>1.1.3</w:t>
      </w:r>
      <w:r>
        <w:rPr>
          <w:rFonts w:ascii="仿宋" w:hAnsi="仿宋" w:eastAsia="仿宋" w:cs="仿宋"/>
          <w:b/>
          <w:sz w:val="32"/>
          <w:szCs w:val="32"/>
        </w:rPr>
        <w:t>资产情况</w:t>
      </w:r>
      <w:r>
        <w:rPr>
          <w:rFonts w:ascii="仿宋" w:hAnsi="仿宋" w:eastAsia="仿宋" w:cs="仿宋"/>
          <w:b/>
          <w:sz w:val="32"/>
          <w:szCs w:val="32"/>
        </w:rPr>
        <w:tab/>
      </w:r>
      <w:r>
        <w:rPr>
          <w:rFonts w:ascii="仿宋" w:hAnsi="仿宋" w:eastAsia="仿宋" w:cs="仿宋"/>
          <w:b/>
          <w:sz w:val="32"/>
          <w:szCs w:val="32"/>
        </w:rPr>
        <w:fldChar w:fldCharType="end"/>
      </w:r>
      <w:bookmarkEnd w:id="25"/>
      <w:bookmarkEnd w:id="26"/>
    </w:p>
    <w:p>
      <w:pPr>
        <w:spacing w:line="520" w:lineRule="exact"/>
        <w:ind w:firstLine="640" w:firstLineChars="200"/>
        <w:rPr>
          <w:rFonts w:ascii="仿宋" w:hAnsi="仿宋" w:eastAsia="仿宋" w:cs="仿宋"/>
          <w:b/>
          <w:sz w:val="32"/>
          <w:szCs w:val="32"/>
          <w:highlight w:val="yellow"/>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2年末账面反映资产总额</w:t>
      </w:r>
      <w:r>
        <w:rPr>
          <w:rFonts w:ascii="仿宋" w:hAnsi="仿宋" w:eastAsia="仿宋"/>
          <w:sz w:val="32"/>
          <w:szCs w:val="32"/>
        </w:rPr>
        <w:t>1110376.53</w:t>
      </w:r>
      <w:r>
        <w:rPr>
          <w:rFonts w:hint="eastAsia" w:ascii="仿宋" w:hAnsi="仿宋" w:eastAsia="仿宋"/>
          <w:sz w:val="32"/>
          <w:szCs w:val="32"/>
        </w:rPr>
        <w:t>元，其中流动资产</w:t>
      </w:r>
      <w:r>
        <w:rPr>
          <w:rFonts w:ascii="仿宋" w:hAnsi="仿宋" w:eastAsia="仿宋"/>
          <w:sz w:val="32"/>
          <w:szCs w:val="32"/>
        </w:rPr>
        <w:t>313117.75</w:t>
      </w:r>
      <w:r>
        <w:rPr>
          <w:rFonts w:hint="eastAsia" w:ascii="仿宋" w:hAnsi="仿宋" w:eastAsia="仿宋"/>
          <w:sz w:val="32"/>
          <w:szCs w:val="32"/>
        </w:rPr>
        <w:t>元(其中包括货币资金</w:t>
      </w:r>
      <w:r>
        <w:rPr>
          <w:rFonts w:ascii="仿宋" w:hAnsi="仿宋" w:eastAsia="仿宋"/>
          <w:sz w:val="32"/>
          <w:szCs w:val="32"/>
        </w:rPr>
        <w:t>226638.19</w:t>
      </w:r>
      <w:r>
        <w:rPr>
          <w:rFonts w:hint="eastAsia" w:ascii="仿宋" w:hAnsi="仿宋" w:eastAsia="仿宋"/>
          <w:sz w:val="32"/>
          <w:szCs w:val="32"/>
        </w:rPr>
        <w:t>元、其他应收款</w:t>
      </w:r>
      <w:r>
        <w:rPr>
          <w:rFonts w:ascii="仿宋" w:hAnsi="仿宋" w:eastAsia="仿宋"/>
          <w:sz w:val="32"/>
          <w:szCs w:val="32"/>
        </w:rPr>
        <w:t>86479.56</w:t>
      </w:r>
      <w:r>
        <w:rPr>
          <w:rFonts w:hint="eastAsia" w:ascii="仿宋" w:hAnsi="仿宋" w:eastAsia="仿宋"/>
          <w:sz w:val="32"/>
          <w:szCs w:val="32"/>
        </w:rPr>
        <w:t>元）、非流动资产</w:t>
      </w:r>
      <w:r>
        <w:rPr>
          <w:rFonts w:ascii="仿宋" w:hAnsi="仿宋" w:eastAsia="仿宋"/>
          <w:sz w:val="32"/>
          <w:szCs w:val="32"/>
        </w:rPr>
        <w:t>797258.78</w:t>
      </w:r>
      <w:r>
        <w:rPr>
          <w:rFonts w:hint="eastAsia" w:ascii="仿宋" w:hAnsi="仿宋" w:eastAsia="仿宋"/>
          <w:sz w:val="32"/>
          <w:szCs w:val="32"/>
        </w:rPr>
        <w:t>元。</w:t>
      </w:r>
    </w:p>
    <w:p>
      <w:pPr>
        <w:pStyle w:val="3"/>
        <w:bidi w:val="0"/>
        <w:rPr>
          <w:rFonts w:ascii="仿宋" w:hAnsi="仿宋" w:eastAsia="仿宋" w:cs="仿宋"/>
          <w:b/>
          <w:sz w:val="32"/>
          <w:szCs w:val="32"/>
        </w:rPr>
      </w:pPr>
      <w:bookmarkStart w:id="27" w:name="_Toc27361"/>
      <w:r>
        <w:rPr>
          <w:rFonts w:ascii="仿宋" w:hAnsi="仿宋" w:eastAsia="仿宋"/>
          <w:sz w:val="32"/>
          <w:szCs w:val="32"/>
        </w:rPr>
        <w:fldChar w:fldCharType="begin"/>
      </w:r>
      <w:r>
        <w:rPr>
          <w:rFonts w:ascii="仿宋" w:hAnsi="仿宋" w:eastAsia="仿宋"/>
          <w:sz w:val="32"/>
          <w:szCs w:val="32"/>
        </w:rPr>
        <w:instrText xml:space="preserve"> HYPERLINK \l "_Toc123122494"</w:instrText>
      </w:r>
      <w:r>
        <w:rPr>
          <w:rFonts w:ascii="仿宋" w:hAnsi="仿宋" w:eastAsia="仿宋"/>
          <w:sz w:val="32"/>
          <w:szCs w:val="32"/>
        </w:rPr>
        <w:fldChar w:fldCharType="separate"/>
      </w:r>
      <w:r>
        <w:rPr>
          <w:rFonts w:hint="eastAsia" w:ascii="仿宋" w:hAnsi="仿宋" w:eastAsia="仿宋" w:cs="仿宋"/>
          <w:b/>
          <w:sz w:val="32"/>
          <w:szCs w:val="32"/>
        </w:rPr>
        <w:t xml:space="preserve">1.2 </w:t>
      </w:r>
      <w:r>
        <w:rPr>
          <w:rFonts w:ascii="仿宋" w:hAnsi="仿宋" w:eastAsia="仿宋" w:cs="仿宋"/>
          <w:b/>
          <w:sz w:val="32"/>
          <w:szCs w:val="32"/>
        </w:rPr>
        <w:t>工作任务</w:t>
      </w:r>
      <w:r>
        <w:rPr>
          <w:rFonts w:hint="eastAsia" w:ascii="仿宋" w:hAnsi="仿宋" w:eastAsia="仿宋" w:cs="仿宋"/>
          <w:b/>
          <w:sz w:val="32"/>
          <w:szCs w:val="32"/>
        </w:rPr>
        <w:t>及绩效目标</w:t>
      </w:r>
      <w:r>
        <w:rPr>
          <w:rFonts w:ascii="仿宋" w:hAnsi="仿宋" w:eastAsia="仿宋" w:cs="仿宋"/>
          <w:b/>
          <w:sz w:val="32"/>
          <w:szCs w:val="32"/>
        </w:rPr>
        <w:tab/>
      </w:r>
      <w:r>
        <w:rPr>
          <w:rFonts w:ascii="仿宋" w:hAnsi="仿宋" w:eastAsia="仿宋" w:cs="仿宋"/>
          <w:b/>
          <w:sz w:val="32"/>
          <w:szCs w:val="32"/>
        </w:rPr>
        <w:fldChar w:fldCharType="end"/>
      </w:r>
      <w:bookmarkEnd w:id="27"/>
    </w:p>
    <w:p>
      <w:pPr>
        <w:spacing w:line="520" w:lineRule="exact"/>
        <w:ind w:firstLine="640" w:firstLineChars="200"/>
        <w:rPr>
          <w:rFonts w:ascii="仿宋" w:hAnsi="仿宋" w:eastAsia="仿宋" w:cs="楷体_GB2312"/>
          <w:bCs/>
          <w:sz w:val="32"/>
          <w:szCs w:val="32"/>
        </w:rPr>
      </w:pPr>
      <w:r>
        <w:rPr>
          <w:rFonts w:hint="eastAsia" w:ascii="仿宋" w:hAnsi="仿宋" w:eastAsia="仿宋" w:cs="楷体_GB2312"/>
          <w:bCs/>
          <w:sz w:val="32"/>
          <w:szCs w:val="32"/>
        </w:rPr>
        <w:t>对标一流，打造城市党建“金字招牌”。</w:t>
      </w:r>
      <w:r>
        <w:rPr>
          <w:rFonts w:hint="eastAsia" w:ascii="仿宋" w:hAnsi="仿宋" w:eastAsia="仿宋" w:cs="楷体_GB2312"/>
          <w:sz w:val="32"/>
          <w:szCs w:val="32"/>
        </w:rPr>
        <w:t>通过“走出去、请进来”，对标一流、学习榜样，筑牢党建之魂，夯实党建之基，不断锤炼党员党性素养，强化党员队伍的战斗力、建好建强城市党建队伍，深入开展党员“三亮三比三争”活动，推动城市党建扩影响、增活力。</w:t>
      </w:r>
    </w:p>
    <w:p>
      <w:pPr>
        <w:spacing w:line="520" w:lineRule="exact"/>
        <w:ind w:firstLine="640" w:firstLineChars="200"/>
        <w:rPr>
          <w:rFonts w:ascii="仿宋" w:hAnsi="仿宋" w:eastAsia="仿宋" w:cs="楷体_GB2312"/>
          <w:bCs/>
          <w:sz w:val="32"/>
          <w:szCs w:val="32"/>
        </w:rPr>
      </w:pPr>
      <w:r>
        <w:rPr>
          <w:rFonts w:hint="eastAsia" w:ascii="仿宋" w:hAnsi="仿宋" w:eastAsia="仿宋" w:cs="楷体_GB2312"/>
          <w:bCs/>
          <w:sz w:val="32"/>
          <w:szCs w:val="32"/>
        </w:rPr>
        <w:t>巩固脱贫成效，提增</w:t>
      </w:r>
      <w:r>
        <w:rPr>
          <w:rFonts w:ascii="仿宋" w:hAnsi="仿宋" w:eastAsia="仿宋" w:cs="楷体_GB2312"/>
          <w:bCs/>
          <w:sz w:val="32"/>
          <w:szCs w:val="32"/>
        </w:rPr>
        <w:t>乡村振兴</w:t>
      </w:r>
      <w:r>
        <w:rPr>
          <w:rFonts w:hint="eastAsia" w:ascii="仿宋" w:hAnsi="仿宋" w:eastAsia="仿宋" w:cs="楷体_GB2312"/>
          <w:bCs/>
          <w:sz w:val="32"/>
          <w:szCs w:val="32"/>
        </w:rPr>
        <w:t>“</w:t>
      </w:r>
      <w:r>
        <w:rPr>
          <w:rFonts w:ascii="仿宋" w:hAnsi="仿宋" w:eastAsia="仿宋" w:cs="楷体_GB2312"/>
          <w:bCs/>
          <w:sz w:val="32"/>
          <w:szCs w:val="32"/>
        </w:rPr>
        <w:t>底色</w:t>
      </w:r>
      <w:r>
        <w:rPr>
          <w:rFonts w:hint="eastAsia" w:ascii="仿宋" w:hAnsi="仿宋" w:eastAsia="仿宋" w:cs="楷体_GB2312"/>
          <w:bCs/>
          <w:sz w:val="32"/>
          <w:szCs w:val="32"/>
        </w:rPr>
        <w:t>”。</w:t>
      </w:r>
      <w:r>
        <w:rPr>
          <w:rFonts w:ascii="仿宋" w:hAnsi="仿宋" w:eastAsia="仿宋" w:cs="楷体_GB2312"/>
          <w:bCs/>
          <w:sz w:val="32"/>
          <w:szCs w:val="32"/>
        </w:rPr>
        <w:t>一是</w:t>
      </w:r>
      <w:r>
        <w:rPr>
          <w:rFonts w:hint="eastAsia" w:ascii="仿宋" w:hAnsi="仿宋" w:eastAsia="仿宋" w:cs="楷体_GB2312"/>
          <w:bCs/>
          <w:sz w:val="32"/>
          <w:szCs w:val="32"/>
        </w:rPr>
        <w:t>抓好政策落地，巩固脱贫攻坚成果</w:t>
      </w:r>
      <w:r>
        <w:rPr>
          <w:rFonts w:ascii="仿宋" w:hAnsi="仿宋" w:eastAsia="仿宋" w:cs="楷体_GB2312"/>
          <w:sz w:val="32"/>
          <w:szCs w:val="32"/>
        </w:rPr>
        <w:t>。</w:t>
      </w:r>
      <w:r>
        <w:rPr>
          <w:rFonts w:hint="eastAsia" w:ascii="仿宋" w:hAnsi="仿宋" w:eastAsia="仿宋" w:cs="楷体_GB2312"/>
          <w:bCs/>
          <w:sz w:val="32"/>
          <w:szCs w:val="32"/>
        </w:rPr>
        <w:t>二</w:t>
      </w:r>
      <w:r>
        <w:rPr>
          <w:rFonts w:ascii="仿宋" w:hAnsi="仿宋" w:eastAsia="仿宋" w:cs="楷体_GB2312"/>
          <w:bCs/>
          <w:sz w:val="32"/>
          <w:szCs w:val="32"/>
        </w:rPr>
        <w:t>是</w:t>
      </w:r>
      <w:r>
        <w:rPr>
          <w:rFonts w:hint="eastAsia" w:ascii="仿宋" w:hAnsi="仿宋" w:eastAsia="仿宋" w:cs="楷体_GB2312"/>
          <w:bCs/>
          <w:sz w:val="32"/>
          <w:szCs w:val="32"/>
        </w:rPr>
        <w:t>抓好动态</w:t>
      </w:r>
      <w:r>
        <w:rPr>
          <w:rFonts w:ascii="仿宋" w:hAnsi="仿宋" w:eastAsia="仿宋" w:cs="楷体_GB2312"/>
          <w:bCs/>
          <w:sz w:val="32"/>
          <w:szCs w:val="32"/>
        </w:rPr>
        <w:t>监测</w:t>
      </w:r>
      <w:r>
        <w:rPr>
          <w:rFonts w:hint="eastAsia" w:ascii="仿宋" w:hAnsi="仿宋" w:eastAsia="仿宋" w:cs="楷体_GB2312"/>
          <w:bCs/>
          <w:sz w:val="32"/>
          <w:szCs w:val="32"/>
        </w:rPr>
        <w:t>，做到</w:t>
      </w:r>
      <w:r>
        <w:rPr>
          <w:rFonts w:ascii="仿宋" w:hAnsi="仿宋" w:eastAsia="仿宋" w:cs="楷体_GB2312"/>
          <w:bCs/>
          <w:sz w:val="32"/>
          <w:szCs w:val="32"/>
        </w:rPr>
        <w:t>早发现、早干预</w:t>
      </w:r>
      <w:r>
        <w:rPr>
          <w:rFonts w:hint="eastAsia" w:ascii="仿宋" w:hAnsi="仿宋" w:eastAsia="仿宋" w:cs="楷体_GB2312"/>
          <w:bCs/>
          <w:sz w:val="32"/>
          <w:szCs w:val="32"/>
        </w:rPr>
        <w:t>、</w:t>
      </w:r>
      <w:r>
        <w:rPr>
          <w:rFonts w:ascii="仿宋" w:hAnsi="仿宋" w:eastAsia="仿宋" w:cs="楷体_GB2312"/>
          <w:bCs/>
          <w:sz w:val="32"/>
          <w:szCs w:val="32"/>
        </w:rPr>
        <w:t>早帮扶</w:t>
      </w:r>
      <w:r>
        <w:rPr>
          <w:rFonts w:hint="eastAsia" w:ascii="仿宋" w:hAnsi="仿宋" w:eastAsia="仿宋" w:cs="楷体_GB2312"/>
          <w:sz w:val="32"/>
          <w:szCs w:val="32"/>
        </w:rPr>
        <w:t>。</w:t>
      </w:r>
      <w:r>
        <w:rPr>
          <w:rFonts w:hint="eastAsia" w:ascii="仿宋" w:hAnsi="仿宋" w:eastAsia="仿宋" w:cs="楷体_GB2312"/>
          <w:bCs/>
          <w:sz w:val="32"/>
          <w:szCs w:val="32"/>
        </w:rPr>
        <w:t>三是壮大村集体经济，提升乡村振兴“底色”，</w:t>
      </w:r>
      <w:r>
        <w:rPr>
          <w:rFonts w:hint="eastAsia" w:ascii="仿宋" w:hAnsi="仿宋" w:eastAsia="仿宋" w:cs="楷体_GB2312"/>
          <w:sz w:val="32"/>
          <w:szCs w:val="32"/>
        </w:rPr>
        <w:t>力争2022年实现村集体经济经营性收入同比增长10%以上。</w:t>
      </w:r>
    </w:p>
    <w:p>
      <w:pPr>
        <w:spacing w:line="520" w:lineRule="exact"/>
        <w:ind w:firstLine="640" w:firstLineChars="200"/>
        <w:rPr>
          <w:rFonts w:ascii="仿宋" w:hAnsi="仿宋" w:eastAsia="仿宋" w:cs="楷体_GB2312"/>
          <w:bCs/>
          <w:sz w:val="32"/>
          <w:szCs w:val="32"/>
        </w:rPr>
      </w:pPr>
      <w:r>
        <w:rPr>
          <w:rFonts w:hint="eastAsia" w:ascii="仿宋" w:hAnsi="仿宋" w:eastAsia="仿宋" w:cs="楷体_GB2312"/>
          <w:bCs/>
          <w:sz w:val="32"/>
          <w:szCs w:val="32"/>
        </w:rPr>
        <w:t>强化机制，打造社区治理现代化“新样板”。</w:t>
      </w:r>
      <w:r>
        <w:rPr>
          <w:rFonts w:hint="eastAsia" w:ascii="仿宋" w:hAnsi="仿宋" w:eastAsia="仿宋" w:cs="楷体_GB2312"/>
          <w:sz w:val="32"/>
          <w:szCs w:val="32"/>
        </w:rPr>
        <w:t>积极探索“村改居”模式，向深圳、东莞等经济发达地区取经学习，着力解决农民“上楼”后就业问题，完善社会保障机制，让“村改居”改出社区治理“新路子”。</w:t>
      </w:r>
    </w:p>
    <w:p>
      <w:pPr>
        <w:spacing w:line="520" w:lineRule="exact"/>
        <w:ind w:firstLine="640" w:firstLineChars="200"/>
        <w:rPr>
          <w:rFonts w:ascii="仿宋" w:hAnsi="仿宋" w:eastAsia="仿宋" w:cs="楷体_GB2312"/>
          <w:bCs/>
          <w:sz w:val="32"/>
          <w:szCs w:val="32"/>
        </w:rPr>
      </w:pPr>
      <w:r>
        <w:rPr>
          <w:rFonts w:hint="eastAsia" w:ascii="仿宋" w:hAnsi="仿宋" w:eastAsia="仿宋" w:cs="楷体_GB2312"/>
          <w:bCs/>
          <w:sz w:val="32"/>
          <w:szCs w:val="32"/>
        </w:rPr>
        <w:t>多措并举，树立服务群众“新标杆”。一是</w:t>
      </w:r>
      <w:r>
        <w:rPr>
          <w:rFonts w:hint="eastAsia" w:ascii="仿宋" w:hAnsi="仿宋" w:eastAsia="仿宋" w:cs="楷体_GB2312"/>
          <w:sz w:val="32"/>
          <w:szCs w:val="32"/>
        </w:rPr>
        <w:t>坚持一切为了人民、一切服务人民理念，</w:t>
      </w:r>
      <w:r>
        <w:rPr>
          <w:rFonts w:hint="eastAsia" w:ascii="仿宋" w:hAnsi="仿宋" w:eastAsia="仿宋" w:cs="楷体_GB2312"/>
          <w:bCs/>
          <w:sz w:val="32"/>
          <w:szCs w:val="32"/>
        </w:rPr>
        <w:t>二是</w:t>
      </w:r>
      <w:r>
        <w:rPr>
          <w:rFonts w:hint="eastAsia" w:ascii="仿宋" w:hAnsi="仿宋" w:eastAsia="仿宋" w:cs="楷体_GB2312"/>
          <w:sz w:val="32"/>
          <w:szCs w:val="32"/>
        </w:rPr>
        <w:t>建立城乡人居环境整治常态机制，强化小区物业服务的考核管理，进一步提升小区居住品质，打造美丽和谐小区，增强群众获得感。三</w:t>
      </w:r>
      <w:r>
        <w:rPr>
          <w:rFonts w:hint="eastAsia" w:ascii="仿宋" w:hAnsi="仿宋" w:eastAsia="仿宋" w:cs="楷体_GB2312"/>
          <w:bCs/>
          <w:sz w:val="32"/>
          <w:szCs w:val="32"/>
        </w:rPr>
        <w:t>是</w:t>
      </w:r>
      <w:r>
        <w:rPr>
          <w:rFonts w:hint="eastAsia" w:ascii="仿宋" w:hAnsi="仿宋" w:eastAsia="仿宋" w:cs="楷体_GB2312"/>
          <w:sz w:val="32"/>
          <w:szCs w:val="32"/>
        </w:rPr>
        <w:t>依托新时代文明实践站点建设，贴近群众需求，开展丰富多彩、便民利民的文明实践活动，积极发动居民参与各项志愿服务，不断丰富群众精神文化生活，切实提升人民群众幸福感和满意度。</w:t>
      </w:r>
    </w:p>
    <w:p>
      <w:pPr>
        <w:spacing w:line="520" w:lineRule="exact"/>
        <w:ind w:firstLine="640" w:firstLineChars="200"/>
        <w:rPr>
          <w:rFonts w:ascii="仿宋" w:hAnsi="仿宋" w:eastAsia="仿宋"/>
          <w:color w:val="FF0000"/>
          <w:sz w:val="32"/>
          <w:szCs w:val="32"/>
        </w:rPr>
      </w:pPr>
      <w:r>
        <w:rPr>
          <w:rFonts w:hint="eastAsia" w:ascii="仿宋" w:hAnsi="仿宋" w:eastAsia="仿宋" w:cs="楷体_GB2312"/>
          <w:bCs/>
          <w:sz w:val="32"/>
          <w:szCs w:val="32"/>
        </w:rPr>
        <w:t>严管厚爱，营造风清气正干事创业好氛围。</w:t>
      </w:r>
      <w:r>
        <w:rPr>
          <w:rFonts w:hint="eastAsia" w:ascii="仿宋" w:hAnsi="仿宋" w:eastAsia="仿宋" w:cs="楷体_GB2312"/>
          <w:sz w:val="32"/>
          <w:szCs w:val="32"/>
        </w:rPr>
        <w:t>坚持全面从严治党，持续推进党风廉政建设和反腐败工作，以严管即是厚爱为原则，加强干部队伍作风建设，用好干部绩效考核这根“指挥棒”，激发干部的干事热情，让想干事、能干事、干成事的干部有干头、有想头、有奔头，大力营造勤勉敬业、风清气正的好风气和你追我赶、干事创业的好氛围。</w:t>
      </w:r>
    </w:p>
    <w:p>
      <w:pPr>
        <w:pStyle w:val="3"/>
        <w:bidi w:val="0"/>
        <w:rPr>
          <w:rFonts w:hint="eastAsia" w:ascii="仿宋" w:hAnsi="仿宋" w:eastAsia="仿宋" w:cs="仿宋"/>
        </w:rPr>
      </w:pPr>
      <w:bookmarkStart w:id="28" w:name="_Toc46"/>
      <w:r>
        <w:rPr>
          <w:rFonts w:hint="eastAsia" w:ascii="仿宋" w:hAnsi="仿宋" w:eastAsia="仿宋" w:cs="仿宋"/>
        </w:rPr>
        <w:t>1.3预算及执行情况</w:t>
      </w:r>
      <w:bookmarkEnd w:id="28"/>
    </w:p>
    <w:p>
      <w:pPr>
        <w:spacing w:line="520" w:lineRule="exact"/>
        <w:ind w:firstLine="643" w:firstLineChars="200"/>
        <w:jc w:val="left"/>
        <w:rPr>
          <w:rFonts w:ascii="仿宋" w:hAnsi="仿宋" w:eastAsia="仿宋"/>
          <w:sz w:val="32"/>
          <w:szCs w:val="32"/>
        </w:rPr>
      </w:pPr>
      <w:r>
        <w:rPr>
          <w:rFonts w:hint="eastAsia" w:ascii="仿宋" w:hAnsi="仿宋" w:eastAsia="仿宋"/>
          <w:b/>
          <w:sz w:val="32"/>
          <w:szCs w:val="32"/>
        </w:rPr>
        <w:t>年度单位预算情况</w:t>
      </w: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2年年初预算收入总计1337.23万元，全部为一般公共预算拨款收入。年初预算支出1337.23万元，其中：基本支出542.53万元，项目支出794.70万元。</w:t>
      </w:r>
      <w:r>
        <w:rPr>
          <w:rFonts w:hint="eastAsia" w:ascii="仿宋" w:hAnsi="仿宋" w:eastAsia="仿宋"/>
          <w:spacing w:val="-6"/>
          <w:sz w:val="32"/>
          <w:szCs w:val="32"/>
        </w:rPr>
        <w:t>2022年预算调整收入406.25万元，调整后预算总收入1743.48万元。</w:t>
      </w:r>
    </w:p>
    <w:p>
      <w:pPr>
        <w:spacing w:line="520" w:lineRule="exact"/>
        <w:ind w:firstLine="619" w:firstLineChars="200"/>
        <w:jc w:val="left"/>
        <w:rPr>
          <w:rFonts w:ascii="仿宋" w:hAnsi="仿宋" w:eastAsia="仿宋"/>
          <w:sz w:val="32"/>
          <w:szCs w:val="32"/>
        </w:rPr>
      </w:pPr>
      <w:r>
        <w:rPr>
          <w:rFonts w:hint="eastAsia" w:ascii="仿宋" w:hAnsi="仿宋" w:eastAsia="仿宋"/>
          <w:b/>
          <w:spacing w:val="-6"/>
          <w:sz w:val="32"/>
          <w:szCs w:val="32"/>
        </w:rPr>
        <w:t>年度单位预算执行情况</w:t>
      </w:r>
      <w:r>
        <w:rPr>
          <w:rFonts w:hint="eastAsia" w:ascii="仿宋" w:hAnsi="仿宋" w:eastAsia="仿宋"/>
          <w:spacing w:val="-6"/>
          <w:sz w:val="32"/>
          <w:szCs w:val="32"/>
        </w:rPr>
        <w:t>—2022年度决算收入总额</w:t>
      </w:r>
      <w:r>
        <w:rPr>
          <w:rFonts w:hint="eastAsia" w:ascii="仿宋" w:hAnsi="仿宋" w:eastAsia="仿宋"/>
          <w:sz w:val="32"/>
          <w:szCs w:val="32"/>
        </w:rPr>
        <w:t>1743.48万元，其中：本年一般公共预算财政拨款收入1596.36万元、政府性基金预算财政拨款收入147.11万元。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2022年度决算支出1743.48万元，其中：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按支出性质分类：基本支出507.38万元，项目支出1236.10万元；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基本支出按经济分类：工资福利支出398.23万元、商品和服务支出109.15万元。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基本支出中人员经费支出398.23万元，占基本支出的78.49%，日常公用经费支出109.15万元，占基本支出的21.51%。</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预算完成率</w:t>
      </w:r>
      <w:r>
        <w:rPr>
          <w:rFonts w:hint="eastAsia" w:ascii="仿宋" w:hAnsi="仿宋" w:eastAsia="仿宋"/>
          <w:sz w:val="32"/>
          <w:szCs w:val="32"/>
        </w:rPr>
        <w:t>=（预算完成数÷预算调整数）×100%=（1743.48万元÷1743.48万元）×100%=</w:t>
      </w:r>
      <w:r>
        <w:rPr>
          <w:rFonts w:ascii="仿宋" w:hAnsi="仿宋" w:eastAsia="仿宋"/>
          <w:sz w:val="32"/>
          <w:szCs w:val="32"/>
        </w:rPr>
        <w:t>100</w:t>
      </w:r>
      <w:r>
        <w:rPr>
          <w:rFonts w:hint="eastAsia" w:ascii="仿宋" w:hAnsi="仿宋" w:eastAsia="仿宋"/>
          <w:sz w:val="32"/>
          <w:szCs w:val="32"/>
        </w:rPr>
        <w:t>%。</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公用经费控制情况</w:t>
      </w:r>
      <w:r>
        <w:rPr>
          <w:rFonts w:hint="eastAsia" w:ascii="仿宋" w:hAnsi="仿宋" w:eastAsia="仿宋"/>
          <w:sz w:val="32"/>
          <w:szCs w:val="32"/>
        </w:rPr>
        <w:t>—高校园区管理处2022年公用经费预算数48.36万元，当年公用经费实际支出109.15万元。</w:t>
      </w:r>
      <w:r>
        <w:rPr>
          <w:rFonts w:hint="eastAsia" w:ascii="仿宋" w:hAnsi="仿宋" w:eastAsia="仿宋"/>
          <w:b/>
          <w:sz w:val="32"/>
          <w:szCs w:val="32"/>
        </w:rPr>
        <w:t>公用经费控制率</w:t>
      </w:r>
      <w:r>
        <w:rPr>
          <w:rFonts w:hint="eastAsia" w:ascii="仿宋" w:hAnsi="仿宋" w:eastAsia="仿宋"/>
          <w:sz w:val="32"/>
          <w:szCs w:val="32"/>
        </w:rPr>
        <w:t>=（实际支出公用经费总额÷预算安排公用经费总额）×100%=（109.15万元÷48.36万元）×100%=225.70%。</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三公经费控制情况</w:t>
      </w:r>
      <w:r>
        <w:rPr>
          <w:rFonts w:hint="eastAsia" w:ascii="仿宋" w:hAnsi="仿宋" w:eastAsia="仿宋"/>
          <w:sz w:val="32"/>
          <w:szCs w:val="32"/>
        </w:rPr>
        <w:t>—高校园区管理处2022年三公经费预算数3.5万元，当年三公经费实际支出1.35万元。</w:t>
      </w:r>
      <w:r>
        <w:rPr>
          <w:rFonts w:hint="eastAsia" w:ascii="仿宋" w:hAnsi="仿宋" w:eastAsia="仿宋"/>
          <w:b/>
          <w:sz w:val="32"/>
          <w:szCs w:val="32"/>
        </w:rPr>
        <w:t>三公经费控制率</w:t>
      </w:r>
      <w:r>
        <w:rPr>
          <w:rFonts w:hint="eastAsia" w:ascii="仿宋" w:hAnsi="仿宋" w:eastAsia="仿宋"/>
          <w:sz w:val="32"/>
          <w:szCs w:val="32"/>
        </w:rPr>
        <w:t>=（“三公经费”实际支出数÷“三公经费”预算安排数）×100%=（1.35万元÷3.5万元）×100%=38.57%。</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政府采购预算执行情况</w:t>
      </w:r>
      <w:r>
        <w:rPr>
          <w:rFonts w:hint="eastAsia" w:ascii="仿宋" w:hAnsi="仿宋" w:eastAsia="仿宋"/>
          <w:sz w:val="32"/>
          <w:szCs w:val="32"/>
        </w:rPr>
        <w:t>—高校园区管理处2022年政府采购预算数100.26万元，当年实际政府采购支出296.71万元。</w:t>
      </w:r>
      <w:r>
        <w:rPr>
          <w:rFonts w:hint="eastAsia" w:ascii="仿宋" w:hAnsi="仿宋" w:eastAsia="仿宋"/>
          <w:b/>
          <w:sz w:val="32"/>
          <w:szCs w:val="32"/>
        </w:rPr>
        <w:t>政府采购执行率</w:t>
      </w:r>
      <w:r>
        <w:rPr>
          <w:rFonts w:hint="eastAsia" w:ascii="仿宋" w:hAnsi="仿宋" w:eastAsia="仿宋"/>
          <w:sz w:val="32"/>
          <w:szCs w:val="32"/>
        </w:rPr>
        <w:t>=（实际政府采购金额÷政府采购预算数）×100%=（296.71万元÷100.26万元）×100%=295.94%。</w:t>
      </w:r>
    </w:p>
    <w:p>
      <w:pPr>
        <w:pStyle w:val="3"/>
        <w:bidi w:val="0"/>
        <w:rPr>
          <w:rFonts w:ascii="仿宋" w:hAnsi="仿宋" w:eastAsia="仿宋" w:cs="仿宋"/>
          <w:b/>
          <w:sz w:val="32"/>
          <w:szCs w:val="32"/>
        </w:rPr>
      </w:pPr>
      <w:bookmarkStart w:id="29" w:name="_Toc18924"/>
      <w:r>
        <w:rPr>
          <w:rFonts w:ascii="仿宋" w:hAnsi="仿宋" w:eastAsia="仿宋"/>
          <w:sz w:val="32"/>
          <w:szCs w:val="32"/>
        </w:rPr>
        <w:fldChar w:fldCharType="begin"/>
      </w:r>
      <w:r>
        <w:rPr>
          <w:rFonts w:ascii="仿宋" w:hAnsi="仿宋" w:eastAsia="仿宋"/>
          <w:sz w:val="32"/>
          <w:szCs w:val="32"/>
        </w:rPr>
        <w:instrText xml:space="preserve"> HYPERLINK \l "_Toc123122495"</w:instrText>
      </w:r>
      <w:r>
        <w:rPr>
          <w:rFonts w:ascii="仿宋" w:hAnsi="仿宋" w:eastAsia="仿宋"/>
          <w:sz w:val="32"/>
          <w:szCs w:val="32"/>
        </w:rPr>
        <w:fldChar w:fldCharType="separate"/>
      </w:r>
      <w:r>
        <w:rPr>
          <w:rFonts w:hint="eastAsia" w:ascii="仿宋" w:hAnsi="仿宋" w:eastAsia="仿宋" w:cs="仿宋"/>
          <w:b/>
          <w:sz w:val="32"/>
          <w:szCs w:val="32"/>
        </w:rPr>
        <w:t>1.4履职完成情况</w:t>
      </w:r>
      <w:r>
        <w:rPr>
          <w:rFonts w:ascii="仿宋" w:hAnsi="仿宋" w:eastAsia="仿宋" w:cs="仿宋"/>
          <w:b/>
          <w:sz w:val="32"/>
          <w:szCs w:val="32"/>
        </w:rPr>
        <w:tab/>
      </w:r>
      <w:r>
        <w:rPr>
          <w:rFonts w:ascii="仿宋" w:hAnsi="仿宋" w:eastAsia="仿宋" w:cs="仿宋"/>
          <w:b/>
          <w:sz w:val="32"/>
          <w:szCs w:val="32"/>
        </w:rPr>
        <w:fldChar w:fldCharType="end"/>
      </w:r>
      <w:bookmarkEnd w:id="29"/>
    </w:p>
    <w:p>
      <w:pPr>
        <w:spacing w:line="520" w:lineRule="exact"/>
        <w:ind w:firstLine="640" w:firstLineChars="200"/>
        <w:rPr>
          <w:rFonts w:ascii="仿宋" w:hAnsi="仿宋" w:eastAsia="仿宋" w:cs="仿宋_GB2312"/>
          <w:sz w:val="32"/>
          <w:szCs w:val="32"/>
        </w:rPr>
      </w:pPr>
      <w:r>
        <w:rPr>
          <w:rFonts w:hint="eastAsia" w:ascii="仿宋" w:hAnsi="仿宋" w:eastAsia="仿宋" w:cs="楷体_GB2312"/>
          <w:sz w:val="32"/>
          <w:szCs w:val="32"/>
        </w:rPr>
        <w:t>理论武装持续强化。</w:t>
      </w:r>
      <w:r>
        <w:rPr>
          <w:rFonts w:hint="eastAsia" w:ascii="仿宋" w:hAnsi="仿宋" w:eastAsia="仿宋" w:cs="仿宋_GB2312"/>
          <w:kern w:val="0"/>
          <w:sz w:val="32"/>
          <w:szCs w:val="32"/>
        </w:rPr>
        <w:t>组织召开党委（扩大）会18次，主任办公会5次，党委理论中心组会议14次开展学习。</w:t>
      </w:r>
    </w:p>
    <w:p>
      <w:pPr>
        <w:shd w:val="clear" w:color="auto" w:fill="FFFFFF"/>
        <w:spacing w:line="520" w:lineRule="exact"/>
        <w:ind w:firstLine="640" w:firstLineChars="200"/>
        <w:contextualSpacing/>
        <w:rPr>
          <w:rFonts w:ascii="仿宋" w:hAnsi="仿宋" w:eastAsia="仿宋" w:cs="仿宋_GB2312"/>
          <w:kern w:val="0"/>
          <w:sz w:val="32"/>
          <w:szCs w:val="32"/>
        </w:rPr>
      </w:pPr>
      <w:r>
        <w:rPr>
          <w:rFonts w:hint="eastAsia" w:ascii="仿宋" w:hAnsi="仿宋" w:eastAsia="仿宋" w:cs="楷体_GB2312"/>
          <w:sz w:val="32"/>
          <w:szCs w:val="32"/>
        </w:rPr>
        <w:t>征拆项目攻坚克难。</w:t>
      </w:r>
      <w:r>
        <w:rPr>
          <w:rFonts w:hint="eastAsia" w:ascii="仿宋" w:hAnsi="仿宋" w:eastAsia="仿宋" w:cs="仿宋_GB2312"/>
          <w:kern w:val="0"/>
          <w:sz w:val="32"/>
          <w:szCs w:val="32"/>
        </w:rPr>
        <w:t>完成了8个项目征迁任务，加快推进了2个项目建设进度。同时，落实了198户村民店面安置12700余平方米。</w:t>
      </w:r>
    </w:p>
    <w:p>
      <w:pPr>
        <w:shd w:val="clear" w:color="auto" w:fill="FFFFFF"/>
        <w:spacing w:line="520" w:lineRule="exact"/>
        <w:ind w:firstLine="640" w:firstLineChars="200"/>
        <w:rPr>
          <w:rFonts w:ascii="仿宋" w:hAnsi="仿宋" w:eastAsia="仿宋" w:cs="仿宋_GB2312"/>
          <w:kern w:val="0"/>
          <w:sz w:val="32"/>
          <w:szCs w:val="32"/>
        </w:rPr>
      </w:pPr>
      <w:r>
        <w:rPr>
          <w:rFonts w:hint="eastAsia" w:ascii="仿宋" w:hAnsi="仿宋" w:eastAsia="仿宋" w:cs="楷体_GB2312"/>
          <w:kern w:val="0"/>
          <w:sz w:val="32"/>
          <w:szCs w:val="32"/>
        </w:rPr>
        <w:t>乡村振兴成效明显。</w:t>
      </w:r>
      <w:r>
        <w:rPr>
          <w:rFonts w:hint="eastAsia" w:ascii="仿宋" w:hAnsi="仿宋" w:eastAsia="仿宋" w:cs="仿宋_GB2312"/>
          <w:kern w:val="0"/>
          <w:sz w:val="32"/>
          <w:szCs w:val="32"/>
        </w:rPr>
        <w:t>坚持“三线预警”做好防止返贫监测，实施动态调整机制，今年新增监测对象10户40人。今年超额完成了水稻种植任务575.3亩；搭建多平台“点对点”推荐就业，全处脱贫劳动力实现转移就业506人，就业率达81.75%。同时，实施“幸福乡村带头人计划”，发掘、培育新型经营主体3个，创业致富带头人8名。</w:t>
      </w:r>
    </w:p>
    <w:p>
      <w:pPr>
        <w:spacing w:line="520" w:lineRule="exact"/>
        <w:ind w:firstLine="640" w:firstLineChars="200"/>
        <w:rPr>
          <w:rFonts w:ascii="仿宋" w:hAnsi="仿宋" w:eastAsia="仿宋" w:cs="仿宋_GB2312"/>
          <w:kern w:val="0"/>
          <w:sz w:val="32"/>
          <w:szCs w:val="32"/>
        </w:rPr>
      </w:pPr>
      <w:r>
        <w:rPr>
          <w:rFonts w:hint="eastAsia" w:ascii="仿宋" w:hAnsi="仿宋" w:eastAsia="仿宋" w:cs="楷体_GB2312"/>
          <w:sz w:val="32"/>
          <w:szCs w:val="32"/>
        </w:rPr>
        <w:t>经济发展稳步推进。</w:t>
      </w:r>
      <w:r>
        <w:rPr>
          <w:rFonts w:hint="eastAsia" w:ascii="仿宋" w:hAnsi="仿宋" w:eastAsia="仿宋" w:cs="仿宋_GB2312"/>
          <w:kern w:val="0"/>
          <w:sz w:val="32"/>
          <w:szCs w:val="32"/>
        </w:rPr>
        <w:t>通过举办招商推介座谈会、外出招商等形式，与近30家企业洽谈合作，成功吸引江西文芯信息技术有限公司等2家企业落户我处，完成年初制定的实际进资4000万的目标任务。</w:t>
      </w:r>
    </w:p>
    <w:p>
      <w:pPr>
        <w:spacing w:line="520" w:lineRule="exact"/>
        <w:ind w:firstLine="640" w:firstLineChars="200"/>
        <w:rPr>
          <w:rFonts w:ascii="仿宋" w:hAnsi="仿宋" w:eastAsia="仿宋" w:cs="仿宋_GB2312"/>
          <w:sz w:val="32"/>
          <w:szCs w:val="32"/>
        </w:rPr>
      </w:pPr>
      <w:r>
        <w:rPr>
          <w:rFonts w:hint="eastAsia" w:ascii="仿宋" w:hAnsi="仿宋" w:eastAsia="仿宋" w:cs="楷体_GB2312"/>
          <w:sz w:val="32"/>
          <w:szCs w:val="32"/>
        </w:rPr>
        <w:t>城乡环境持续改善。</w:t>
      </w:r>
      <w:r>
        <w:rPr>
          <w:rFonts w:hint="eastAsia" w:ascii="仿宋" w:hAnsi="仿宋" w:eastAsia="仿宋" w:cs="仿宋_GB2312"/>
          <w:kern w:val="0"/>
          <w:sz w:val="32"/>
          <w:szCs w:val="32"/>
        </w:rPr>
        <w:t>联合区生态环境分局取缔了坝上村洗涤作坊等3处涉污散乱污小作坊，会同区相关部门将平安大桥等项目工棚拆除，加强了坝上水源地保护；组织专业</w:t>
      </w:r>
      <w:r>
        <w:rPr>
          <w:rFonts w:hint="eastAsia" w:ascii="仿宋" w:hAnsi="仿宋" w:eastAsia="仿宋" w:cs="仿宋_GB2312"/>
          <w:kern w:val="0"/>
          <w:sz w:val="32"/>
          <w:szCs w:val="32"/>
          <w:lang w:bidi="ar"/>
        </w:rPr>
        <w:t>除治队伍常态化除治松材线虫病疫木</w:t>
      </w:r>
      <w:r>
        <w:rPr>
          <w:rFonts w:hint="eastAsia" w:ascii="仿宋" w:hAnsi="仿宋" w:eastAsia="仿宋" w:cs="仿宋_GB2312"/>
          <w:spacing w:val="-6"/>
          <w:sz w:val="32"/>
          <w:szCs w:val="32"/>
        </w:rPr>
        <w:t>，发现一株除治一株</w:t>
      </w:r>
      <w:r>
        <w:rPr>
          <w:rFonts w:hint="eastAsia" w:ascii="仿宋" w:hAnsi="仿宋" w:eastAsia="仿宋" w:cs="仿宋_GB2312"/>
          <w:sz w:val="32"/>
          <w:szCs w:val="32"/>
        </w:rPr>
        <w:t>，疫木除治率达99%以上；全覆盖开展餐饮油烟专项排查，督促10余家餐饮店落实整改。狠抓小区环境“六乱”整治800余处，小区违规摊贩、出店经营等现象得到进一步治理。</w:t>
      </w:r>
    </w:p>
    <w:p>
      <w:pPr>
        <w:spacing w:line="520" w:lineRule="exact"/>
        <w:ind w:firstLine="640" w:firstLineChars="200"/>
        <w:rPr>
          <w:rFonts w:ascii="仿宋" w:hAnsi="仿宋" w:eastAsia="仿宋" w:cs="仿宋_GB2312"/>
          <w:sz w:val="32"/>
          <w:szCs w:val="32"/>
        </w:rPr>
      </w:pPr>
      <w:r>
        <w:rPr>
          <w:rFonts w:hint="eastAsia" w:ascii="仿宋" w:hAnsi="仿宋" w:eastAsia="仿宋" w:cs="楷体_GB2312"/>
          <w:sz w:val="32"/>
          <w:szCs w:val="32"/>
        </w:rPr>
        <w:t>社会环境安全稳定。</w:t>
      </w:r>
      <w:r>
        <w:rPr>
          <w:rFonts w:hint="eastAsia" w:ascii="仿宋" w:hAnsi="仿宋" w:eastAsia="仿宋" w:cs="仿宋_GB2312"/>
          <w:sz w:val="32"/>
          <w:szCs w:val="32"/>
        </w:rPr>
        <w:t>严格落实疫情防控政策，摸排高风险地区来赣人员343人，密接2063人。化解矛盾纠纷443起。排查企业安全隐患1000余次，整改问题183个。持续开展防养老诈骗宣传，推进扫黑除恶，维护铁路沿线安全稳定，提高了人民群众安全感。</w:t>
      </w:r>
    </w:p>
    <w:p>
      <w:pPr>
        <w:spacing w:line="520" w:lineRule="exact"/>
        <w:ind w:firstLine="640" w:firstLineChars="200"/>
        <w:rPr>
          <w:rFonts w:ascii="仿宋" w:hAnsi="仿宋" w:eastAsia="仿宋" w:cs="仿宋_GB2312"/>
          <w:sz w:val="32"/>
          <w:szCs w:val="32"/>
        </w:rPr>
      </w:pPr>
      <w:r>
        <w:rPr>
          <w:rFonts w:hint="eastAsia" w:ascii="仿宋" w:hAnsi="仿宋" w:eastAsia="仿宋" w:cs="楷体_GB2312"/>
          <w:bCs/>
          <w:sz w:val="32"/>
          <w:szCs w:val="32"/>
        </w:rPr>
        <w:t>民生福祉保障有力。</w:t>
      </w:r>
      <w:r>
        <w:rPr>
          <w:rFonts w:hint="eastAsia" w:ascii="仿宋" w:hAnsi="仿宋" w:eastAsia="仿宋" w:cs="仿宋_GB2312"/>
          <w:sz w:val="32"/>
          <w:szCs w:val="32"/>
        </w:rPr>
        <w:t>发放各项保障资金258.77万元；临时救助37人次，发放资金10.5万元。转拨资金71.6万元。2022年度共有19502人参加城乡居民医疗保险，参保率达98.81%；</w:t>
      </w:r>
      <w:r>
        <w:rPr>
          <w:rFonts w:hint="eastAsia" w:ascii="仿宋" w:hAnsi="仿宋" w:eastAsia="仿宋" w:cs="仿宋_GB2312"/>
          <w:sz w:val="32"/>
          <w:szCs w:val="32"/>
          <w:lang w:eastAsia="zh-CN"/>
        </w:rPr>
        <w:t>截至12月</w:t>
      </w:r>
      <w:r>
        <w:rPr>
          <w:rFonts w:hint="eastAsia" w:ascii="仿宋" w:hAnsi="仿宋" w:eastAsia="仿宋" w:cs="仿宋_GB2312"/>
          <w:sz w:val="32"/>
          <w:szCs w:val="32"/>
        </w:rPr>
        <w:t>15日，2023年医保参保缴费人数12369人，完成率63.1%；养老保险参保5319人，完成率75.89%，</w:t>
      </w:r>
    </w:p>
    <w:p>
      <w:pPr>
        <w:spacing w:line="520" w:lineRule="exact"/>
        <w:ind w:firstLine="640" w:firstLineChars="200"/>
        <w:rPr>
          <w:rFonts w:ascii="仿宋" w:hAnsi="仿宋" w:eastAsia="仿宋" w:cs="仿宋_GB2312"/>
          <w:kern w:val="0"/>
          <w:sz w:val="32"/>
          <w:szCs w:val="32"/>
        </w:rPr>
      </w:pPr>
      <w:r>
        <w:rPr>
          <w:rFonts w:hint="eastAsia" w:ascii="仿宋" w:hAnsi="仿宋" w:eastAsia="仿宋" w:cs="楷体_GB2312"/>
          <w:kern w:val="0"/>
          <w:sz w:val="32"/>
          <w:szCs w:val="32"/>
        </w:rPr>
        <w:t>党建质量全面过硬。</w:t>
      </w:r>
      <w:r>
        <w:rPr>
          <w:rFonts w:hint="eastAsia" w:ascii="仿宋" w:hAnsi="仿宋" w:eastAsia="仿宋" w:cs="仿宋_GB2312"/>
          <w:kern w:val="0"/>
          <w:sz w:val="32"/>
          <w:szCs w:val="32"/>
        </w:rPr>
        <w:t>组织“书记讲坛”6场，征集心里话13698条，其中视频57条；开展“红动星期六”志愿服务活动227场次。开展党风廉政教育4次，举办“廉洁文化月”活动，处村两级干部撰写廉洁家书127封，征集廉政寄语7条。</w:t>
      </w:r>
    </w:p>
    <w:p>
      <w:pPr>
        <w:spacing w:line="520" w:lineRule="exact"/>
        <w:ind w:firstLine="480" w:firstLineChars="150"/>
        <w:rPr>
          <w:rFonts w:hint="eastAsia" w:ascii="仿宋" w:hAnsi="仿宋" w:eastAsia="仿宋" w:cs="仿宋"/>
          <w:bCs/>
          <w:sz w:val="32"/>
          <w:szCs w:val="32"/>
        </w:rPr>
      </w:pPr>
      <w:r>
        <w:rPr>
          <w:rFonts w:hint="eastAsia" w:ascii="仿宋" w:hAnsi="仿宋" w:eastAsia="仿宋" w:cs="楷体_GB2312"/>
          <w:sz w:val="32"/>
          <w:szCs w:val="32"/>
        </w:rPr>
        <w:t>精神文明建设蔚然成风。</w:t>
      </w:r>
      <w:r>
        <w:rPr>
          <w:rFonts w:hint="eastAsia" w:ascii="仿宋" w:hAnsi="仿宋" w:eastAsia="仿宋" w:cs="仿宋_GB2312"/>
          <w:bCs/>
          <w:sz w:val="32"/>
          <w:szCs w:val="32"/>
        </w:rPr>
        <w:t>一是高质量打造新时代文明实践阵地。</w:t>
      </w:r>
      <w:r>
        <w:rPr>
          <w:rFonts w:hint="eastAsia" w:ascii="仿宋" w:hAnsi="仿宋" w:eastAsia="仿宋" w:cs="仿宋"/>
          <w:bCs/>
          <w:sz w:val="32"/>
          <w:szCs w:val="32"/>
        </w:rPr>
        <w:t>二是打造“文明实践+消防”融合阵地。三是打造“童心港湾”关爱品牌。四是深化精神文明，弘扬文明新风。</w:t>
      </w:r>
    </w:p>
    <w:p>
      <w:pPr>
        <w:spacing w:line="520" w:lineRule="exact"/>
        <w:ind w:firstLine="480" w:firstLineChars="150"/>
        <w:rPr>
          <w:rFonts w:hint="eastAsia" w:ascii="仿宋" w:hAnsi="仿宋" w:eastAsia="仿宋" w:cs="仿宋"/>
          <w:bCs/>
          <w:sz w:val="32"/>
          <w:szCs w:val="32"/>
        </w:rPr>
      </w:pPr>
    </w:p>
    <w:p>
      <w:pPr>
        <w:pStyle w:val="2"/>
        <w:bidi w:val="0"/>
        <w:jc w:val="left"/>
        <w:rPr>
          <w:rFonts w:ascii="仿宋" w:hAnsi="仿宋" w:eastAsia="仿宋" w:cs="仿宋"/>
          <w:b/>
          <w:sz w:val="32"/>
          <w:szCs w:val="32"/>
        </w:rPr>
      </w:pPr>
      <w:bookmarkStart w:id="30" w:name="_Toc7841"/>
      <w:bookmarkStart w:id="31" w:name="_Toc6232"/>
      <w:r>
        <w:rPr>
          <w:rFonts w:ascii="仿宋" w:hAnsi="仿宋" w:eastAsia="仿宋"/>
          <w:sz w:val="32"/>
          <w:szCs w:val="32"/>
        </w:rPr>
        <w:fldChar w:fldCharType="begin"/>
      </w:r>
      <w:r>
        <w:rPr>
          <w:rFonts w:ascii="仿宋" w:hAnsi="仿宋" w:eastAsia="仿宋"/>
          <w:sz w:val="32"/>
          <w:szCs w:val="32"/>
        </w:rPr>
        <w:instrText xml:space="preserve"> HYPERLINK \l "_Toc123122497"</w:instrText>
      </w:r>
      <w:r>
        <w:rPr>
          <w:rFonts w:ascii="仿宋" w:hAnsi="仿宋" w:eastAsia="仿宋"/>
          <w:sz w:val="32"/>
          <w:szCs w:val="32"/>
        </w:rPr>
        <w:fldChar w:fldCharType="separate"/>
      </w:r>
      <w:r>
        <w:rPr>
          <w:rFonts w:hint="eastAsia" w:ascii="仿宋" w:hAnsi="仿宋" w:eastAsia="仿宋"/>
          <w:sz w:val="32"/>
          <w:szCs w:val="32"/>
          <w:lang w:val="en-US" w:eastAsia="zh-CN"/>
        </w:rPr>
        <w:t>二</w:t>
      </w:r>
      <w:r>
        <w:rPr>
          <w:rFonts w:ascii="仿宋" w:hAnsi="仿宋" w:eastAsia="仿宋" w:cs="仿宋"/>
          <w:b/>
          <w:sz w:val="32"/>
          <w:szCs w:val="32"/>
        </w:rPr>
        <w:t>、</w:t>
      </w:r>
      <w:r>
        <w:rPr>
          <w:rFonts w:hint="eastAsia" w:ascii="仿宋" w:hAnsi="仿宋" w:eastAsia="仿宋" w:cs="仿宋"/>
          <w:b/>
          <w:sz w:val="32"/>
          <w:szCs w:val="32"/>
        </w:rPr>
        <w:t>绩效</w:t>
      </w:r>
      <w:r>
        <w:rPr>
          <w:rFonts w:ascii="仿宋" w:hAnsi="仿宋" w:eastAsia="仿宋" w:cs="仿宋"/>
          <w:b/>
          <w:sz w:val="32"/>
          <w:szCs w:val="32"/>
        </w:rPr>
        <w:t>评价工作情况</w:t>
      </w:r>
      <w:r>
        <w:rPr>
          <w:rFonts w:ascii="仿宋" w:hAnsi="仿宋" w:eastAsia="仿宋" w:cs="仿宋"/>
          <w:b/>
          <w:sz w:val="32"/>
          <w:szCs w:val="32"/>
        </w:rPr>
        <w:tab/>
      </w:r>
      <w:r>
        <w:rPr>
          <w:rFonts w:ascii="仿宋" w:hAnsi="仿宋" w:eastAsia="仿宋" w:cs="仿宋"/>
          <w:b/>
          <w:sz w:val="32"/>
          <w:szCs w:val="32"/>
        </w:rPr>
        <w:fldChar w:fldCharType="end"/>
      </w:r>
      <w:bookmarkEnd w:id="30"/>
      <w:bookmarkEnd w:id="31"/>
    </w:p>
    <w:p>
      <w:pPr>
        <w:pStyle w:val="3"/>
        <w:bidi w:val="0"/>
        <w:rPr>
          <w:rFonts w:hint="eastAsia" w:ascii="仿宋" w:hAnsi="仿宋" w:eastAsia="仿宋" w:cs="仿宋"/>
        </w:rPr>
      </w:pPr>
      <w:bookmarkStart w:id="32" w:name="_Toc9575"/>
      <w:bookmarkStart w:id="33" w:name="_Toc22929"/>
      <w:r>
        <w:rPr>
          <w:rFonts w:hint="eastAsia" w:ascii="仿宋" w:hAnsi="仿宋" w:eastAsia="仿宋" w:cs="仿宋"/>
        </w:rPr>
        <w:t>2.1绩效评价目的及评价依据</w:t>
      </w:r>
      <w:bookmarkEnd w:id="32"/>
      <w:bookmarkEnd w:id="33"/>
    </w:p>
    <w:p>
      <w:pPr>
        <w:pStyle w:val="4"/>
        <w:bidi w:val="0"/>
        <w:rPr>
          <w:rFonts w:hint="eastAsia" w:ascii="仿宋" w:hAnsi="仿宋" w:eastAsia="仿宋" w:cs="仿宋"/>
        </w:rPr>
      </w:pPr>
      <w:bookmarkStart w:id="34" w:name="_Toc30680"/>
      <w:bookmarkStart w:id="35" w:name="_Toc12424"/>
      <w:r>
        <w:rPr>
          <w:rFonts w:hint="eastAsia" w:ascii="仿宋" w:hAnsi="仿宋" w:eastAsia="仿宋" w:cs="仿宋"/>
        </w:rPr>
        <w:t>2.1.1评价目的</w:t>
      </w:r>
      <w:bookmarkEnd w:id="34"/>
      <w:bookmarkEnd w:id="35"/>
    </w:p>
    <w:p>
      <w:pPr>
        <w:pStyle w:val="5"/>
        <w:spacing w:line="520" w:lineRule="exact"/>
        <w:ind w:firstLine="640"/>
        <w:rPr>
          <w:rFonts w:ascii="仿宋" w:hAnsi="仿宋" w:eastAsia="仿宋"/>
          <w:sz w:val="32"/>
          <w:szCs w:val="32"/>
        </w:rPr>
      </w:pPr>
      <w:r>
        <w:rPr>
          <w:rFonts w:hint="eastAsia" w:ascii="仿宋" w:hAnsi="仿宋" w:eastAsia="仿宋"/>
          <w:sz w:val="32"/>
          <w:szCs w:val="32"/>
        </w:rPr>
        <w:t xml:space="preserve">通过本次绩效评价，跟踪高校园区管理处部门整体支出的情况，评价部门在使用预算资金履行自身职能过程中，预算编制的完整性和准确性、资金管理的规范性、财政资金投入运作后带来的产出与效果等情况，并总结取得的工作成果及存在问题，提高财政资金的使用质量与效率。 </w:t>
      </w:r>
    </w:p>
    <w:p>
      <w:pPr>
        <w:pStyle w:val="4"/>
        <w:bidi w:val="0"/>
        <w:rPr>
          <w:rFonts w:hint="eastAsia" w:ascii="仿宋" w:hAnsi="仿宋" w:eastAsia="仿宋" w:cs="仿宋"/>
        </w:rPr>
      </w:pPr>
      <w:bookmarkStart w:id="36" w:name="_Toc17593"/>
      <w:bookmarkStart w:id="37" w:name="_Toc8417"/>
      <w:r>
        <w:rPr>
          <w:rFonts w:hint="eastAsia" w:ascii="仿宋" w:hAnsi="仿宋" w:eastAsia="仿宋" w:cs="仿宋"/>
        </w:rPr>
        <w:t>2.1.2评价依据</w:t>
      </w:r>
      <w:bookmarkEnd w:id="36"/>
      <w:bookmarkEnd w:id="37"/>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·《中共中央国务院关于全面实施预算绩效管理的意见》（中发〔2018〕</w:t>
      </w:r>
      <w:r>
        <w:rPr>
          <w:rFonts w:ascii="仿宋" w:hAnsi="仿宋" w:eastAsia="仿宋"/>
          <w:sz w:val="32"/>
          <w:szCs w:val="32"/>
        </w:rPr>
        <w:t>34</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·《中共江西省委江西省人民政府关于全面实施预算绩效管理的实施意见》（赣发〔2019〕</w:t>
      </w:r>
      <w:r>
        <w:rPr>
          <w:rFonts w:ascii="仿宋" w:hAnsi="仿宋" w:eastAsia="仿宋"/>
          <w:sz w:val="32"/>
          <w:szCs w:val="32"/>
        </w:rPr>
        <w:t>8</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·《中共赣州市委赣州市人民政府关于全面实施预算绩效管理的实施意见》（赣市发〔2019〕12号</w:t>
      </w:r>
      <w:r>
        <w:rPr>
          <w:rFonts w:ascii="仿宋" w:hAnsi="仿宋" w:eastAsia="仿宋"/>
          <w:sz w:val="32"/>
          <w:szCs w:val="32"/>
        </w:rPr>
        <w:t>）</w:t>
      </w:r>
      <w:r>
        <w:rPr>
          <w:rFonts w:hint="eastAsia" w:ascii="仿宋" w:hAnsi="仿宋" w:eastAsia="仿宋"/>
          <w:sz w:val="32"/>
          <w:szCs w:val="32"/>
        </w:rPr>
        <w:t>；</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·《赣州市预算绩效管理暂行办法》；</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·赣州蓉江新区财政局《赣州蓉江新区财政局关于开展2023年度区本级预算项目和部门整体支出绩效运行评价工作的通知》（赣蓉财预字〔2023〕10号）；</w:t>
      </w:r>
    </w:p>
    <w:p>
      <w:pPr>
        <w:widowControl/>
        <w:shd w:val="clear" w:color="auto" w:fill="FFFFFF"/>
        <w:spacing w:line="520" w:lineRule="exact"/>
        <w:ind w:firstLine="482"/>
        <w:jc w:val="left"/>
        <w:textAlignment w:val="baseline"/>
        <w:rPr>
          <w:rFonts w:ascii="仿宋" w:hAnsi="仿宋" w:eastAsia="仿宋" w:cs="仿宋"/>
          <w:b/>
          <w:sz w:val="32"/>
          <w:szCs w:val="32"/>
        </w:rPr>
      </w:pPr>
      <w:r>
        <w:rPr>
          <w:rFonts w:hint="eastAsia" w:ascii="仿宋" w:hAnsi="仿宋" w:eastAsia="仿宋"/>
          <w:sz w:val="32"/>
          <w:szCs w:val="32"/>
        </w:rPr>
        <w:t>·《赣州蓉江新区财政局关于做好2023年度绩效运行评价工作的通知》（赣蓉财预字〔2023〕11号）。</w:t>
      </w:r>
    </w:p>
    <w:p>
      <w:pPr>
        <w:pStyle w:val="3"/>
        <w:bidi w:val="0"/>
        <w:rPr>
          <w:rFonts w:hint="eastAsia" w:ascii="仿宋" w:hAnsi="仿宋" w:eastAsia="仿宋" w:cs="仿宋"/>
        </w:rPr>
      </w:pPr>
      <w:bookmarkStart w:id="38" w:name="_Toc616"/>
      <w:bookmarkStart w:id="39" w:name="_Toc27548"/>
      <w:r>
        <w:rPr>
          <w:rFonts w:hint="eastAsia" w:ascii="仿宋" w:hAnsi="仿宋" w:eastAsia="仿宋" w:cs="仿宋"/>
        </w:rPr>
        <w:t>2.2绩效评价工作方案制定过程</w:t>
      </w:r>
      <w:bookmarkEnd w:id="38"/>
      <w:bookmarkEnd w:id="39"/>
    </w:p>
    <w:p>
      <w:pPr>
        <w:pStyle w:val="4"/>
        <w:bidi w:val="0"/>
        <w:rPr>
          <w:rFonts w:hint="eastAsia" w:ascii="仿宋" w:hAnsi="仿宋" w:eastAsia="仿宋" w:cs="仿宋"/>
        </w:rPr>
      </w:pPr>
      <w:bookmarkStart w:id="40" w:name="_Toc32767"/>
      <w:bookmarkStart w:id="41" w:name="_Toc16742"/>
      <w:r>
        <w:rPr>
          <w:rFonts w:hint="eastAsia" w:ascii="仿宋" w:hAnsi="仿宋" w:eastAsia="仿宋" w:cs="仿宋"/>
        </w:rPr>
        <w:t>2.2.1前期调研</w:t>
      </w:r>
      <w:bookmarkEnd w:id="40"/>
      <w:bookmarkEnd w:id="41"/>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在受托对部门整体支出开展绩效评价后，绩效评价小组及时与高校园区管理处相关负责人进行沟通，了解基本情况：包括部门概况、预算及执行情况、年度工作计划、年度工作总结等相关文件资料。 </w:t>
      </w:r>
    </w:p>
    <w:p>
      <w:pPr>
        <w:pStyle w:val="4"/>
        <w:bidi w:val="0"/>
        <w:rPr>
          <w:rFonts w:hint="eastAsia" w:ascii="仿宋" w:hAnsi="仿宋" w:eastAsia="仿宋" w:cs="仿宋"/>
        </w:rPr>
      </w:pPr>
      <w:bookmarkStart w:id="42" w:name="_Toc19806"/>
      <w:bookmarkStart w:id="43" w:name="_Toc17896"/>
      <w:r>
        <w:rPr>
          <w:rFonts w:hint="eastAsia" w:ascii="仿宋" w:hAnsi="仿宋" w:eastAsia="仿宋" w:cs="仿宋"/>
        </w:rPr>
        <w:t>2.2.2研究文件</w:t>
      </w:r>
      <w:bookmarkEnd w:id="42"/>
      <w:bookmarkEnd w:id="43"/>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对部门概况初步了解后，组织绩效评价小组成员对收集到的文件资料进行研读，并查阅与部门密切相关的规章制度、文件规定，力求获取对部门全方位的了解。根据赣州蓉江新区财政局的要求，结合部门特点，形成绩效评价的总体思路。 </w:t>
      </w:r>
    </w:p>
    <w:p>
      <w:pPr>
        <w:pStyle w:val="4"/>
        <w:bidi w:val="0"/>
        <w:rPr>
          <w:rFonts w:hint="eastAsia" w:ascii="仿宋" w:hAnsi="仿宋" w:eastAsia="仿宋" w:cs="仿宋"/>
        </w:rPr>
      </w:pPr>
      <w:bookmarkStart w:id="44" w:name="_Toc28503"/>
      <w:bookmarkStart w:id="45" w:name="_Toc5276"/>
      <w:r>
        <w:rPr>
          <w:rFonts w:hint="eastAsia" w:ascii="仿宋" w:hAnsi="仿宋" w:eastAsia="仿宋" w:cs="仿宋"/>
        </w:rPr>
        <w:t>2.2.3绩效评价指标体系及工作方案设计</w:t>
      </w:r>
      <w:bookmarkEnd w:id="44"/>
      <w:bookmarkEnd w:id="45"/>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根据前期调研结果和对相关文件资料的研读，结合部门年度工作计划内容，形成方案初稿，并就方案的可行性、合理性向部门单位征求意见，根据反馈意见修改后形成最终的项目绩效评价方案。 </w:t>
      </w:r>
    </w:p>
    <w:p>
      <w:pPr>
        <w:pStyle w:val="3"/>
        <w:bidi w:val="0"/>
        <w:rPr>
          <w:rFonts w:hint="eastAsia" w:ascii="仿宋" w:hAnsi="仿宋" w:eastAsia="仿宋" w:cs="仿宋"/>
        </w:rPr>
      </w:pPr>
      <w:bookmarkStart w:id="46" w:name="_Toc1026"/>
      <w:bookmarkStart w:id="47" w:name="_Toc19724"/>
      <w:r>
        <w:rPr>
          <w:rFonts w:hint="eastAsia" w:ascii="仿宋" w:hAnsi="仿宋" w:eastAsia="仿宋" w:cs="仿宋"/>
        </w:rPr>
        <w:t>2.3绩效评价原则、评价方法等</w:t>
      </w:r>
      <w:bookmarkEnd w:id="46"/>
      <w:bookmarkEnd w:id="47"/>
    </w:p>
    <w:p>
      <w:pPr>
        <w:pStyle w:val="4"/>
        <w:bidi w:val="0"/>
        <w:rPr>
          <w:rFonts w:hint="eastAsia" w:ascii="仿宋" w:hAnsi="仿宋" w:eastAsia="仿宋" w:cs="仿宋"/>
        </w:rPr>
      </w:pPr>
      <w:bookmarkStart w:id="48" w:name="_Toc6360"/>
      <w:bookmarkStart w:id="49" w:name="_Toc11491"/>
      <w:r>
        <w:rPr>
          <w:rFonts w:hint="eastAsia" w:ascii="仿宋" w:hAnsi="仿宋" w:eastAsia="仿宋" w:cs="仿宋"/>
        </w:rPr>
        <w:t>2.3.1绩效评价原则</w:t>
      </w:r>
      <w:bookmarkEnd w:id="48"/>
      <w:bookmarkEnd w:id="49"/>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（1）科学规范。绩效评价注重财政支出的经济性、效率性和有效性，严格执行规定的程序，采用定量与定性分析相结合的方法。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（2）公正公开。绩效评价客观、公正，标准统一、资料可靠，依法公开并接受监督。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（3）绩效相关。绩效评价针对具体支出及其产出绩效进行，评价结果清晰反映支出和产出绩效之间的紧密对应关系。 </w:t>
      </w:r>
    </w:p>
    <w:p>
      <w:pPr>
        <w:pStyle w:val="4"/>
        <w:bidi w:val="0"/>
        <w:rPr>
          <w:rFonts w:hint="eastAsia" w:ascii="仿宋" w:hAnsi="仿宋" w:eastAsia="仿宋" w:cs="仿宋"/>
        </w:rPr>
      </w:pPr>
      <w:bookmarkStart w:id="50" w:name="_Toc30978"/>
      <w:bookmarkStart w:id="51" w:name="_Toc14772"/>
      <w:r>
        <w:rPr>
          <w:rFonts w:hint="eastAsia" w:ascii="仿宋" w:hAnsi="仿宋" w:eastAsia="仿宋" w:cs="仿宋"/>
        </w:rPr>
        <w:t>2.3.2评价方法</w:t>
      </w:r>
      <w:bookmarkEnd w:id="50"/>
      <w:bookmarkEnd w:id="51"/>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本项目进行绩效评价时采用比较法等方法。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（1）比较法：充分运用部门预算资料、国家、赣州市发布的有关财政预算的各项法律规章制度，对比部门支出实际情况，找出差异与不足，对部门的各项绩效目标进行分析与评价。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（2）因素分析法：综合分析影响绩效目标实现、实施效果的内外因素，评价绩效目标实现程度。 </w:t>
      </w:r>
    </w:p>
    <w:p>
      <w:pPr>
        <w:pStyle w:val="22"/>
        <w:spacing w:line="540" w:lineRule="exact"/>
        <w:ind w:firstLine="640"/>
        <w:rPr>
          <w:rFonts w:ascii="仿宋" w:hAnsi="仿宋" w:eastAsia="仿宋"/>
          <w:sz w:val="32"/>
          <w:szCs w:val="32"/>
        </w:rPr>
      </w:pPr>
      <w:r>
        <w:rPr>
          <w:rFonts w:hint="eastAsia" w:ascii="仿宋" w:hAnsi="仿宋" w:eastAsia="仿宋"/>
          <w:sz w:val="32"/>
          <w:szCs w:val="32"/>
        </w:rPr>
        <w:t>（3）公众评判法：</w:t>
      </w:r>
      <w:r>
        <w:rPr>
          <w:rFonts w:ascii="仿宋" w:hAnsi="仿宋" w:eastAsia="仿宋"/>
          <w:sz w:val="32"/>
          <w:szCs w:val="32"/>
        </w:rPr>
        <w:t>通过</w:t>
      </w:r>
      <w:r>
        <w:rPr>
          <w:rFonts w:hint="eastAsia" w:ascii="仿宋" w:hAnsi="仿宋" w:eastAsia="仿宋"/>
          <w:sz w:val="32"/>
          <w:szCs w:val="32"/>
        </w:rPr>
        <w:t>对服务对象发布</w:t>
      </w:r>
      <w:r>
        <w:rPr>
          <w:rFonts w:ascii="仿宋" w:hAnsi="仿宋" w:eastAsia="仿宋"/>
          <w:sz w:val="32"/>
          <w:szCs w:val="32"/>
        </w:rPr>
        <w:t>公众问卷及抽样调查等对</w:t>
      </w:r>
      <w:r>
        <w:rPr>
          <w:rFonts w:hint="eastAsia" w:ascii="仿宋" w:hAnsi="仿宋" w:eastAsia="仿宋"/>
          <w:sz w:val="32"/>
          <w:szCs w:val="32"/>
        </w:rPr>
        <w:t>部门</w:t>
      </w:r>
      <w:r>
        <w:rPr>
          <w:rFonts w:ascii="仿宋" w:hAnsi="仿宋" w:eastAsia="仿宋"/>
          <w:sz w:val="32"/>
          <w:szCs w:val="32"/>
        </w:rPr>
        <w:t>支出效果进行评判，评价绩效目标实现程度</w:t>
      </w:r>
      <w:r>
        <w:rPr>
          <w:rFonts w:hint="eastAsia" w:ascii="仿宋" w:hAnsi="仿宋" w:eastAsia="仿宋"/>
          <w:sz w:val="32"/>
          <w:szCs w:val="32"/>
        </w:rPr>
        <w:t>和对象的满意度。</w:t>
      </w:r>
    </w:p>
    <w:p>
      <w:pPr>
        <w:pStyle w:val="22"/>
        <w:spacing w:line="540" w:lineRule="exact"/>
        <w:ind w:firstLine="640"/>
        <w:rPr>
          <w:rFonts w:ascii="仿宋" w:hAnsi="仿宋" w:eastAsia="仿宋"/>
          <w:sz w:val="32"/>
          <w:szCs w:val="32"/>
        </w:rPr>
      </w:pPr>
      <w:r>
        <w:rPr>
          <w:rFonts w:hint="eastAsia" w:ascii="仿宋" w:hAnsi="仿宋" w:eastAsia="仿宋"/>
          <w:sz w:val="32"/>
          <w:szCs w:val="32"/>
        </w:rPr>
        <w:t xml:space="preserve">（4）其他评价方法。 </w:t>
      </w:r>
    </w:p>
    <w:p>
      <w:pPr>
        <w:pStyle w:val="4"/>
        <w:bidi w:val="0"/>
        <w:rPr>
          <w:rFonts w:hint="eastAsia" w:ascii="仿宋" w:hAnsi="仿宋" w:eastAsia="仿宋" w:cs="仿宋"/>
        </w:rPr>
      </w:pPr>
      <w:bookmarkStart w:id="52" w:name="_Toc30449"/>
      <w:bookmarkStart w:id="53" w:name="_Toc30416"/>
      <w:r>
        <w:rPr>
          <w:rFonts w:hint="eastAsia" w:ascii="仿宋" w:hAnsi="仿宋" w:eastAsia="仿宋" w:cs="仿宋"/>
        </w:rPr>
        <w:t>2.3.3数据收集与绩效评价实施过程</w:t>
      </w:r>
      <w:bookmarkEnd w:id="52"/>
      <w:bookmarkEnd w:id="53"/>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评价小组在工作方案指导下，开展绩效评价工作。广泛收集部门绩效相关资料并分析部门支出情况，采用访谈方法收集一手数据，通过对资料分析、研究、总结，对指标体系评分，得出部门取得的成绩，指出部门存在的问题，提出相关建议。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(1)工作方案策划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首先与委托方、预算单位等部门进行充分沟通与交流，制定绩效评价工作方案。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(2)资料收集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绩效评价组以绩效评价指标体系要求为基础进行资料收集，收集了部门整体支出绩效的各项资料，包括机构人员、职能职责、预算编制、工作计划、工作总结、工作流程、管理制度、检查监督、档案管理等。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(3)访谈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为更进一步了解部门整体支出的各项情况，我们开展访谈，对项目有关人员进行情况了解。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(4)分析研究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按照制定的绩效评价指标体系，根据以上收集的文献资料、访谈等，对各项绩效评价指标进行分析与评价。</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 (5)归纳总结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在充分调研、分析的基础上，对预算单位取得的成效与经验、存在的问题进行归纳总结，并提出相关建议。 </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(6)形成报告 </w:t>
      </w:r>
    </w:p>
    <w:p>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spacing w:line="540" w:lineRule="exact"/>
        <w:ind w:firstLine="640" w:firstLineChars="200"/>
        <w:rPr>
          <w:rFonts w:hint="eastAsia" w:ascii="仿宋" w:hAnsi="仿宋" w:eastAsia="仿宋"/>
          <w:sz w:val="32"/>
          <w:szCs w:val="32"/>
        </w:rPr>
      </w:pPr>
    </w:p>
    <w:p>
      <w:pPr>
        <w:pStyle w:val="2"/>
        <w:bidi w:val="0"/>
        <w:jc w:val="both"/>
        <w:rPr>
          <w:rFonts w:hint="eastAsia" w:ascii="仿宋" w:hAnsi="仿宋" w:eastAsia="仿宋" w:cs="仿宋"/>
          <w:sz w:val="32"/>
          <w:szCs w:val="32"/>
        </w:rPr>
      </w:pPr>
      <w:bookmarkStart w:id="54" w:name="_Toc15769"/>
      <w:bookmarkStart w:id="55" w:name="_Toc26369"/>
      <w:r>
        <w:rPr>
          <w:rFonts w:hint="eastAsia" w:ascii="仿宋" w:hAnsi="仿宋" w:eastAsia="仿宋" w:cs="仿宋"/>
          <w:sz w:val="32"/>
          <w:szCs w:val="32"/>
          <w:lang w:val="en-US" w:eastAsia="zh-CN"/>
        </w:rPr>
        <w:t>三</w:t>
      </w:r>
      <w:r>
        <w:rPr>
          <w:rFonts w:hint="eastAsia" w:ascii="仿宋" w:hAnsi="仿宋" w:eastAsia="仿宋" w:cs="仿宋"/>
          <w:sz w:val="32"/>
          <w:szCs w:val="32"/>
        </w:rPr>
        <w:t>、具体绩效分析</w:t>
      </w:r>
      <w:bookmarkEnd w:id="54"/>
      <w:bookmarkEnd w:id="55"/>
    </w:p>
    <w:p>
      <w:pPr>
        <w:rPr>
          <w:rFonts w:hint="eastAsia"/>
        </w:rPr>
      </w:pPr>
    </w:p>
    <w:p>
      <w:pPr>
        <w:pStyle w:val="3"/>
        <w:bidi w:val="0"/>
        <w:rPr>
          <w:rFonts w:hint="eastAsia" w:ascii="仿宋" w:hAnsi="仿宋" w:eastAsia="仿宋" w:cs="仿宋"/>
        </w:rPr>
      </w:pPr>
      <w:bookmarkStart w:id="56" w:name="_Toc21345"/>
      <w:bookmarkStart w:id="57" w:name="_Toc26962"/>
      <w:bookmarkStart w:id="58" w:name="_Toc23219"/>
      <w:r>
        <w:rPr>
          <w:rFonts w:hint="eastAsia" w:ascii="仿宋" w:hAnsi="仿宋" w:eastAsia="仿宋" w:cs="仿宋"/>
        </w:rPr>
        <w:t>3.1投入指标类</w:t>
      </w:r>
      <w:bookmarkEnd w:id="56"/>
      <w:bookmarkEnd w:id="57"/>
      <w:bookmarkEnd w:id="58"/>
    </w:p>
    <w:p>
      <w:pPr>
        <w:spacing w:line="540" w:lineRule="exact"/>
        <w:ind w:firstLine="561"/>
        <w:rPr>
          <w:rFonts w:ascii="仿宋" w:hAnsi="仿宋" w:eastAsia="仿宋" w:cs="仿宋"/>
          <w:sz w:val="32"/>
          <w:szCs w:val="32"/>
        </w:rPr>
      </w:pPr>
      <w:r>
        <w:rPr>
          <w:rFonts w:hint="eastAsia" w:ascii="仿宋" w:hAnsi="仿宋" w:eastAsia="仿宋" w:cs="仿宋"/>
          <w:sz w:val="32"/>
          <w:szCs w:val="32"/>
        </w:rPr>
        <w:t>投入指标类由3个二级指标和7个三级指标构成，权重分为15分，实际得分11分，得分率73.33%。</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A.投入指标</w:t>
      </w:r>
    </w:p>
    <w:p>
      <w:pPr>
        <w:spacing w:line="560" w:lineRule="exact"/>
        <w:ind w:firstLine="561"/>
        <w:rPr>
          <w:rFonts w:ascii="仿宋" w:hAnsi="仿宋" w:eastAsia="仿宋" w:cs="仿宋"/>
          <w:sz w:val="32"/>
          <w:szCs w:val="32"/>
        </w:rPr>
      </w:pPr>
      <w:r>
        <w:rPr>
          <w:rFonts w:hint="eastAsia" w:ascii="仿宋" w:hAnsi="仿宋" w:eastAsia="仿宋" w:cs="仿宋"/>
          <w:sz w:val="32"/>
          <w:szCs w:val="32"/>
        </w:rPr>
        <w:t>主要考察预算编制的完整性、准确性和合理性，绩效目标设立是否细化、量化、明确，是否在保障职能履行的同时最大限度的控制行政成本。</w:t>
      </w:r>
    </w:p>
    <w:p>
      <w:pPr>
        <w:spacing w:line="560" w:lineRule="exact"/>
        <w:ind w:firstLine="561"/>
        <w:rPr>
          <w:rFonts w:ascii="仿宋" w:hAnsi="仿宋" w:eastAsia="仿宋" w:cs="仿宋"/>
          <w:sz w:val="32"/>
          <w:szCs w:val="32"/>
        </w:rPr>
      </w:pPr>
      <w:r>
        <w:rPr>
          <w:rFonts w:hint="eastAsia" w:ascii="仿宋" w:hAnsi="仿宋" w:eastAsia="仿宋" w:cs="仿宋"/>
          <w:sz w:val="32"/>
          <w:szCs w:val="32"/>
        </w:rPr>
        <w:t>各指标业绩值和实际得分详见表3-1。</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表3-1 投入指标评分表</w:t>
      </w:r>
    </w:p>
    <w:tbl>
      <w:tblPr>
        <w:tblStyle w:val="1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4183"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973"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4183" w:type="dxa"/>
          </w:tcPr>
          <w:p>
            <w:pPr>
              <w:spacing w:line="560" w:lineRule="exact"/>
              <w:jc w:val="left"/>
              <w:rPr>
                <w:rFonts w:ascii="仿宋" w:hAnsi="仿宋" w:eastAsia="仿宋" w:cs="仿宋"/>
                <w:kern w:val="0"/>
                <w:sz w:val="30"/>
                <w:szCs w:val="30"/>
              </w:rPr>
            </w:pPr>
            <w:r>
              <w:rPr>
                <w:rFonts w:hint="eastAsia" w:ascii="仿宋" w:hAnsi="仿宋" w:eastAsia="仿宋" w:cs="仿宋"/>
                <w:kern w:val="0"/>
                <w:sz w:val="30"/>
                <w:szCs w:val="30"/>
              </w:rPr>
              <w:t>A1 预算编制</w:t>
            </w:r>
          </w:p>
        </w:tc>
        <w:tc>
          <w:tcPr>
            <w:tcW w:w="1174" w:type="dxa"/>
          </w:tcPr>
          <w:p>
            <w:pPr>
              <w:spacing w:line="560" w:lineRule="exact"/>
              <w:ind w:firstLine="360"/>
              <w:jc w:val="center"/>
              <w:rPr>
                <w:rFonts w:ascii="仿宋" w:hAnsi="仿宋" w:eastAsia="仿宋" w:cs="仿宋"/>
                <w:kern w:val="0"/>
                <w:sz w:val="30"/>
                <w:szCs w:val="30"/>
              </w:rPr>
            </w:pPr>
          </w:p>
        </w:tc>
        <w:tc>
          <w:tcPr>
            <w:tcW w:w="1973" w:type="dxa"/>
          </w:tcPr>
          <w:p>
            <w:pPr>
              <w:spacing w:line="560" w:lineRule="exact"/>
              <w:ind w:firstLine="360"/>
              <w:jc w:val="center"/>
              <w:rPr>
                <w:rFonts w:ascii="仿宋" w:hAnsi="仿宋" w:eastAsia="仿宋" w:cs="仿宋"/>
                <w:kern w:val="0"/>
                <w:sz w:val="30"/>
                <w:szCs w:val="30"/>
              </w:rPr>
            </w:pPr>
          </w:p>
        </w:tc>
        <w:tc>
          <w:tcPr>
            <w:tcW w:w="1228" w:type="dxa"/>
          </w:tcPr>
          <w:p>
            <w:pPr>
              <w:spacing w:line="56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A1.1 预算编制完整性</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A1.2 预算编制准确性</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jc w:val="left"/>
              <w:rPr>
                <w:rFonts w:ascii="仿宋" w:hAnsi="仿宋" w:eastAsia="仿宋" w:cs="仿宋"/>
                <w:kern w:val="0"/>
                <w:sz w:val="30"/>
                <w:szCs w:val="30"/>
              </w:rPr>
            </w:pPr>
            <w:r>
              <w:rPr>
                <w:rFonts w:hint="eastAsia" w:ascii="仿宋" w:hAnsi="仿宋" w:eastAsia="仿宋" w:cs="仿宋"/>
                <w:kern w:val="0"/>
                <w:sz w:val="30"/>
                <w:szCs w:val="30"/>
              </w:rPr>
              <w:t>A2 绩效目标</w:t>
            </w:r>
          </w:p>
        </w:tc>
        <w:tc>
          <w:tcPr>
            <w:tcW w:w="1174" w:type="dxa"/>
          </w:tcPr>
          <w:p>
            <w:pPr>
              <w:spacing w:line="560" w:lineRule="exact"/>
              <w:ind w:firstLine="360"/>
              <w:jc w:val="center"/>
              <w:rPr>
                <w:rFonts w:ascii="仿宋" w:hAnsi="仿宋" w:eastAsia="仿宋" w:cs="仿宋"/>
                <w:kern w:val="0"/>
                <w:sz w:val="30"/>
                <w:szCs w:val="30"/>
              </w:rPr>
            </w:pPr>
          </w:p>
        </w:tc>
        <w:tc>
          <w:tcPr>
            <w:tcW w:w="1973" w:type="dxa"/>
          </w:tcPr>
          <w:p>
            <w:pPr>
              <w:spacing w:line="560" w:lineRule="exact"/>
              <w:ind w:firstLine="360"/>
              <w:jc w:val="center"/>
              <w:rPr>
                <w:rFonts w:ascii="仿宋" w:hAnsi="仿宋" w:eastAsia="仿宋" w:cs="仿宋"/>
                <w:kern w:val="0"/>
                <w:sz w:val="30"/>
                <w:szCs w:val="30"/>
              </w:rPr>
            </w:pPr>
          </w:p>
        </w:tc>
        <w:tc>
          <w:tcPr>
            <w:tcW w:w="1228" w:type="dxa"/>
          </w:tcPr>
          <w:p>
            <w:pPr>
              <w:spacing w:line="56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A2.1 绩效指标明确性</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60" w:lineRule="exact"/>
              <w:jc w:val="center"/>
              <w:rPr>
                <w:rFonts w:ascii="仿宋" w:hAnsi="仿宋" w:eastAsia="仿宋" w:cs="仿宋"/>
                <w:kern w:val="0"/>
                <w:sz w:val="28"/>
                <w:szCs w:val="28"/>
              </w:rPr>
            </w:pPr>
            <w:r>
              <w:rPr>
                <w:rFonts w:hint="eastAsia" w:ascii="仿宋" w:hAnsi="仿宋" w:eastAsia="仿宋" w:cs="仿宋"/>
                <w:kern w:val="0"/>
                <w:sz w:val="28"/>
                <w:szCs w:val="28"/>
              </w:rPr>
              <w:t>明确性、量化不足</w:t>
            </w:r>
          </w:p>
        </w:tc>
        <w:tc>
          <w:tcPr>
            <w:tcW w:w="1228" w:type="dxa"/>
            <w:vAlign w:val="center"/>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A2.2 绩效指标科学合理性</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科学合理性、匹配性不足</w:t>
            </w:r>
          </w:p>
        </w:tc>
        <w:tc>
          <w:tcPr>
            <w:tcW w:w="1228" w:type="dxa"/>
            <w:vAlign w:val="center"/>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jc w:val="left"/>
              <w:rPr>
                <w:rFonts w:ascii="仿宋" w:hAnsi="仿宋" w:eastAsia="仿宋" w:cs="仿宋"/>
                <w:kern w:val="0"/>
                <w:sz w:val="30"/>
                <w:szCs w:val="30"/>
              </w:rPr>
            </w:pPr>
            <w:r>
              <w:rPr>
                <w:rFonts w:hint="eastAsia" w:ascii="仿宋" w:hAnsi="仿宋" w:eastAsia="仿宋" w:cs="仿宋"/>
                <w:kern w:val="0"/>
                <w:sz w:val="30"/>
                <w:szCs w:val="30"/>
              </w:rPr>
              <w:t>A3 预算配置</w:t>
            </w:r>
          </w:p>
        </w:tc>
        <w:tc>
          <w:tcPr>
            <w:tcW w:w="1174" w:type="dxa"/>
          </w:tcPr>
          <w:p>
            <w:pPr>
              <w:spacing w:line="560" w:lineRule="exact"/>
              <w:ind w:firstLine="360"/>
              <w:jc w:val="center"/>
              <w:rPr>
                <w:rFonts w:ascii="仿宋" w:hAnsi="仿宋" w:eastAsia="仿宋" w:cs="仿宋"/>
                <w:kern w:val="0"/>
                <w:sz w:val="30"/>
                <w:szCs w:val="30"/>
              </w:rPr>
            </w:pPr>
          </w:p>
        </w:tc>
        <w:tc>
          <w:tcPr>
            <w:tcW w:w="1973" w:type="dxa"/>
            <w:vAlign w:val="center"/>
          </w:tcPr>
          <w:p>
            <w:pPr>
              <w:spacing w:line="560" w:lineRule="exact"/>
              <w:ind w:firstLine="1950" w:firstLineChars="650"/>
              <w:jc w:val="center"/>
              <w:rPr>
                <w:rFonts w:ascii="仿宋" w:hAnsi="仿宋" w:eastAsia="仿宋" w:cs="仿宋"/>
                <w:kern w:val="0"/>
                <w:sz w:val="30"/>
                <w:szCs w:val="30"/>
              </w:rPr>
            </w:pPr>
          </w:p>
        </w:tc>
        <w:tc>
          <w:tcPr>
            <w:tcW w:w="1228" w:type="dxa"/>
            <w:vAlign w:val="center"/>
          </w:tcPr>
          <w:p>
            <w:pPr>
              <w:spacing w:line="56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A3.1在职人员控制率</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A3.2“三公经费”变动率</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vAlign w:val="center"/>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-12.5%</w:t>
            </w:r>
          </w:p>
        </w:tc>
        <w:tc>
          <w:tcPr>
            <w:tcW w:w="1228" w:type="dxa"/>
            <w:vAlign w:val="center"/>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6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A3.3重点支出安排率</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6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15</w:t>
            </w:r>
          </w:p>
        </w:tc>
        <w:tc>
          <w:tcPr>
            <w:tcW w:w="1973" w:type="dxa"/>
          </w:tcPr>
          <w:p>
            <w:pPr>
              <w:spacing w:line="560" w:lineRule="exact"/>
              <w:ind w:firstLine="360"/>
              <w:jc w:val="center"/>
              <w:rPr>
                <w:rFonts w:ascii="仿宋" w:hAnsi="仿宋" w:eastAsia="仿宋" w:cs="仿宋"/>
                <w:kern w:val="0"/>
                <w:sz w:val="30"/>
                <w:szCs w:val="30"/>
              </w:rPr>
            </w:pPr>
          </w:p>
        </w:tc>
        <w:tc>
          <w:tcPr>
            <w:tcW w:w="1228" w:type="dxa"/>
          </w:tcPr>
          <w:p>
            <w:pPr>
              <w:spacing w:line="56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11</w:t>
            </w:r>
          </w:p>
        </w:tc>
      </w:tr>
    </w:tbl>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预算编制</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A1.1预算编制完整性</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通过对比高校园区管理处公开的预算信息、预算表和财政部门批复的预算，可以看到相关预算编制完整、齐全。因此，预算编制完整性目标值实现。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sz w:val="32"/>
          <w:szCs w:val="32"/>
        </w:rPr>
      </w:pPr>
      <w:r>
        <w:rPr>
          <w:rFonts w:hint="eastAsia" w:ascii="仿宋" w:hAnsi="仿宋" w:eastAsia="仿宋" w:cs="仿宋"/>
          <w:sz w:val="32"/>
          <w:szCs w:val="32"/>
        </w:rPr>
        <w:t>A1.2预算编制准确性</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通过对比高校园区管理处公开的预算信息、预算表和财政部门批复的预算，预算科目分类、列报准确。因此，预算编制准确性目标值实现。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A2绩效目标</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A2.1绩效指标明确性</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高校园区管理处“2022年部门整体支出绩效目标表”共设置一级指标3个、二级指标9个、三级指标10个，在10个三级指标中有量化指标3个，量化比率为30%，其中“成本指标”为可量化指标未充分量化。因此，绩效指标明确性目标值未完全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该项指标满分3分，根据评分标准得1分。</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由于预算绩效管理工作还处于一个探索和学习的初级阶段，目标体系尚待健全，相关工作经验有待累积，是该指标业绩值不足的主要原因。</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A2.2 绩效指标科学合理性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2022年部门整体支出绩效目标表”设置的绩效目标依据部门职能和年度工作任务、计划确定，设置是有依据的；二级指标“经济效益指标”项下三级指标的设置不宜用作衡量经济效益，大部分三级指标的设置太过笼统、不够清晰、没有实际具体内容，绩效指标设置不够科学、合理，也无法体现与本年度部门预算资金的匹配性。因此，绩效指标科学合理性目标值未完全实现。</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该项指标满分3分，根据评分标准得1分。</w:t>
      </w:r>
    </w:p>
    <w:p>
      <w:pPr>
        <w:pStyle w:val="5"/>
        <w:spacing w:line="540" w:lineRule="exact"/>
        <w:ind w:firstLine="640"/>
        <w:rPr>
          <w:rFonts w:ascii="仿宋" w:hAnsi="仿宋" w:eastAsia="仿宋"/>
          <w:sz w:val="32"/>
          <w:szCs w:val="32"/>
          <w:highlight w:val="yellow"/>
        </w:rPr>
      </w:pPr>
      <w:r>
        <w:rPr>
          <w:rFonts w:hint="eastAsia" w:ascii="仿宋" w:hAnsi="仿宋" w:eastAsia="仿宋" w:cs="仿宋"/>
          <w:sz w:val="32"/>
          <w:szCs w:val="32"/>
        </w:rPr>
        <w:t>绩效指标设置科学合理，需要部门内多岗位联动，相关人员共同参与，结合部门预算、工作规划、工作任务和计划来综合确定，目标设置过程中的全系统参与不足、工作计划不完善、重视程度不够是该指标未能完全完成的主要原因。</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A3预算配置</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A3.1在职人员控制率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根据高校园区管理处提供的职能配置、机构设置和人员编制的相关文件资料，以及门户网站公开的信息，高校园区管理处核定编制10人，2022</w:t>
      </w:r>
      <w:r>
        <w:rPr>
          <w:rFonts w:hint="eastAsia" w:ascii="仿宋" w:hAnsi="仿宋" w:eastAsia="仿宋"/>
          <w:sz w:val="32"/>
          <w:szCs w:val="32"/>
        </w:rPr>
        <w:t>年末在职人数10人、其他人员88人，</w:t>
      </w:r>
      <w:r>
        <w:rPr>
          <w:rFonts w:hint="eastAsia" w:ascii="仿宋" w:hAnsi="仿宋" w:eastAsia="仿宋" w:cs="仿宋"/>
          <w:sz w:val="32"/>
          <w:szCs w:val="32"/>
        </w:rPr>
        <w:t>其中以财政确定的部门决算编制口径的在职人员10人。在职人员控制率=（在职人员数/编制数）×100%=（10人/10人）×100%=100%。因此，在职人员控制率目标值实现。</w:t>
      </w:r>
    </w:p>
    <w:p>
      <w:pPr>
        <w:spacing w:line="540" w:lineRule="exact"/>
        <w:ind w:firstLine="640" w:firstLineChars="200"/>
        <w:jc w:val="left"/>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A3.2“三公经费”变动率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2021年度“三公经费”预算4万元，2022年度“三公经费”预算3.5万元，“三公经费”变动率=[（本年度“三公经费”总额-上年度“三公经费”总额）/上年度“三公经费”总额]×100%=[3.5万元-4万元）/4万元]×100%=-12.5%。因此，“三公经费”变动率目标值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A3.3重点支出安排率</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高校园区管理处2022年度项目支出预算794.70万元，项目支出决算1236.10万元，均为高校园区管理处履职和发展密切相关、具有明显社会和经济影响、党委政府关心或社会比较关注的重点项目支出，重点支出安排率=（重点项目支出/项目总支出）×100%=（1236.10万元/1236.10万元）×100%=100%。因此，重点支出安排率目标值实现。</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pStyle w:val="3"/>
        <w:bidi w:val="0"/>
        <w:rPr>
          <w:rFonts w:hint="eastAsia" w:ascii="仿宋" w:hAnsi="仿宋" w:eastAsia="仿宋" w:cs="仿宋"/>
        </w:rPr>
      </w:pPr>
      <w:bookmarkStart w:id="59" w:name="_Toc19807"/>
      <w:bookmarkStart w:id="60" w:name="_Toc24468"/>
      <w:bookmarkStart w:id="61" w:name="_Toc22163"/>
      <w:r>
        <w:rPr>
          <w:rFonts w:hint="eastAsia" w:ascii="仿宋" w:hAnsi="仿宋" w:eastAsia="仿宋" w:cs="仿宋"/>
        </w:rPr>
        <w:t>3.2过程指标类</w:t>
      </w:r>
      <w:bookmarkEnd w:id="59"/>
      <w:bookmarkEnd w:id="60"/>
      <w:bookmarkEnd w:id="61"/>
    </w:p>
    <w:p>
      <w:pPr>
        <w:spacing w:line="520" w:lineRule="exact"/>
        <w:ind w:firstLine="561"/>
        <w:rPr>
          <w:rFonts w:ascii="仿宋" w:hAnsi="仿宋" w:eastAsia="仿宋" w:cs="仿宋"/>
          <w:sz w:val="32"/>
          <w:szCs w:val="32"/>
        </w:rPr>
      </w:pPr>
      <w:r>
        <w:rPr>
          <w:rFonts w:hint="eastAsia" w:ascii="仿宋" w:hAnsi="仿宋" w:eastAsia="仿宋" w:cs="仿宋"/>
          <w:sz w:val="32"/>
          <w:szCs w:val="32"/>
        </w:rPr>
        <w:t>过程指标类由3个二级指标和13个三级指标构成，权重分为</w:t>
      </w:r>
      <w:r>
        <w:rPr>
          <w:rFonts w:hint="eastAsia" w:ascii="仿宋" w:hAnsi="仿宋" w:eastAsia="仿宋" w:cs="仿宋"/>
          <w:color w:val="000000" w:themeColor="text1"/>
          <w:sz w:val="32"/>
          <w:szCs w:val="32"/>
          <w14:textFill>
            <w14:solidFill>
              <w14:schemeClr w14:val="tx1"/>
            </w14:solidFill>
          </w14:textFill>
        </w:rPr>
        <w:t>25</w:t>
      </w:r>
      <w:r>
        <w:rPr>
          <w:rFonts w:hint="eastAsia" w:ascii="仿宋" w:hAnsi="仿宋" w:eastAsia="仿宋" w:cs="仿宋"/>
          <w:sz w:val="32"/>
          <w:szCs w:val="32"/>
        </w:rPr>
        <w:t>分，实际得分18分，得分率72%。</w:t>
      </w:r>
    </w:p>
    <w:p>
      <w:pPr>
        <w:spacing w:line="520" w:lineRule="exact"/>
        <w:ind w:firstLine="643" w:firstLineChars="200"/>
        <w:rPr>
          <w:rFonts w:ascii="仿宋" w:hAnsi="仿宋" w:eastAsia="仿宋" w:cs="仿宋"/>
          <w:b/>
          <w:sz w:val="32"/>
          <w:szCs w:val="32"/>
        </w:rPr>
      </w:pPr>
      <w:r>
        <w:rPr>
          <w:rFonts w:hint="eastAsia" w:ascii="仿宋" w:hAnsi="仿宋" w:eastAsia="仿宋" w:cs="仿宋"/>
          <w:b/>
          <w:sz w:val="32"/>
          <w:szCs w:val="32"/>
        </w:rPr>
        <w:t>B.过程指标</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主要考察是否根据批复的预算和用途使用资金。预算执行过程中的管理、监督和核算以及资产管理、处置是否符合相关规定。</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各指标业绩值和实际得分详见表3-2。</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表3-2 过程指标评分表</w:t>
      </w:r>
    </w:p>
    <w:tbl>
      <w:tblPr>
        <w:tblStyle w:val="1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指标</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实际</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B1 预算执行</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B1.1预算完成率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B1.2预算调整率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30.38%</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B1.3支付进度率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B1.4公用经费控制率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225.70%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B1.5“三公经费”控制率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38.57%</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B1.6政府采购执行率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295.94%</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B2 预算管理</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B2.1管理制度健全性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B2.2资金使用合规性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B2.3预决算信息公开性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B2.4财务信息完善性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B3 资产管理</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B3.1资产管理制度健全性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B3.2 资产管理安全性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B3.3固定资产利用率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25</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17</w:t>
            </w:r>
          </w:p>
        </w:tc>
      </w:tr>
    </w:tbl>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  预算执行</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B1.1 预算完成率</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根据高校园区管理处决算公开中的预决算数据，2022年部门调整后的预算数1743.48万元，预算完成数1743.48万元，预算完成率=（预算完成数/预算数）×100%=（1743.48万元/1743.48万元）×100%=100%。因此，预算完成率目标值已实现。</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B1.2预算调整率</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根据高校园区管理处决算公开中的预决算数据，2022年部门年初预算数1337.23万元，调整后的预算数1743.48万元，预算调整数406.25万元，预算调整率=（预算调整数/预算数）×100%=（406.25万元/1337.23万元）×100%=30.38%。因此，预算调整率目标值未实现。</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该项指标满分2分，根据评分标准得0分。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B1.3支付进度率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高校园区管理处只提供了部分评价其整体预算执行及时性、均衡性的必要资料和数据。因此，支付进度率业绩值未全部实现。</w:t>
      </w:r>
    </w:p>
    <w:p>
      <w:pPr>
        <w:pStyle w:val="5"/>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该项指标满分2分，根据评分标准得1分。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B1.4公用经费控制率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2022年公用经费预算数48.36万元，实际支出公用经费109.15万元，公用经费控制率=（实际支出公用经费总额/预算安排公用经费总额）×100%=（109.15万元/48.36万元）=225.70%。因此，公用经费控制率目标值未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该项指标满分2分，根据评分标准得0分。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B1.5“三公经费”控制率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2022年“三公经费”预算数3.5万元，实际支出“三公经费”1.35万元，“三公经费”控制率=（“三公经费”实际支出数/“三公经费”预算安排数）×100%=（1.35万元/3.5万元）=38.57%。因此，“三公经费”控制率目标值实现。</w:t>
      </w:r>
    </w:p>
    <w:p>
      <w:pPr>
        <w:pStyle w:val="5"/>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B1.6政府采购执行率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高校园区管理处2022年政府采购预算数100.26万元，实际政府采购金额296.71万元，政府采购执行率=（实际政府采购金额/政府采购预算数）×100%=（296.71万元/100.26万元）=295.94%。因此，政府采购执行率目标值已实现。</w:t>
      </w:r>
    </w:p>
    <w:p>
      <w:pPr>
        <w:pStyle w:val="5"/>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B2预算管理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B2.1 管理制度健全性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高校园区管理处提交了相关预算资金管理办法、内部财务管理制度、会计核算制度等管理制度，制度较为健全。因此，管理制度健全性业绩值目标已实现。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B2.2资金使用合规性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根据现有资料，未见资金使用不合规的情况。因此，资金使用合规性目标值实现。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B2.3预决算信息公开性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通过政府门户网站查询，高校园区管理处按规定公开了部门预算、预算绩效公开表和预算公开说明、公开了部门决算情况。根据现有资料，我们认为高校园区管理处预决算信息公开符合相关规定。因此，预决算信息公开性目标值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B2.4财务信息完善性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根据现有资料，未见财务信息存在不真实、不完整的情况。因此，资金使用合规性目标值实现。</w:t>
      </w:r>
    </w:p>
    <w:p>
      <w:pPr>
        <w:pStyle w:val="5"/>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B3预算管理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B3.1 资产管理制度健全性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高校园区管理处未能提供本次评价期间相关的资产管理制度。因此</w:t>
      </w:r>
      <w:r>
        <w:rPr>
          <w:rFonts w:hint="eastAsia" w:ascii="仿宋" w:hAnsi="仿宋" w:eastAsia="仿宋" w:cs="仿宋"/>
          <w:sz w:val="32"/>
          <w:szCs w:val="32"/>
          <w:lang w:eastAsia="zh-CN"/>
        </w:rPr>
        <w:t>，资</w:t>
      </w:r>
      <w:r>
        <w:rPr>
          <w:rFonts w:hint="eastAsia" w:ascii="仿宋" w:hAnsi="仿宋" w:eastAsia="仿宋" w:cs="仿宋"/>
          <w:sz w:val="32"/>
          <w:szCs w:val="32"/>
        </w:rPr>
        <w:t>产管理制度健全性业绩值无法确定。</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B3.2资产管理安全性</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高校园区管理处未能提供相关资产保存、配置和处置的相关资料。根据访谈中相关人员介绍，2022年度高校园区管理处没有进行资产盘查。因此，资产管理安全性业绩值无法确定。</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B3.3固定资产利用率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根据高校园区管理处提供的资料，所有固定资产均在使用，无闲置。因此，固定资产利用率业绩值已实现。</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pStyle w:val="3"/>
        <w:bidi w:val="0"/>
        <w:rPr>
          <w:rFonts w:hint="eastAsia" w:ascii="仿宋" w:hAnsi="仿宋" w:eastAsia="仿宋" w:cs="仿宋"/>
        </w:rPr>
      </w:pPr>
      <w:bookmarkStart w:id="62" w:name="_Toc29177"/>
      <w:bookmarkStart w:id="63" w:name="_Toc19230"/>
      <w:bookmarkStart w:id="64" w:name="_Toc29993"/>
      <w:r>
        <w:rPr>
          <w:rFonts w:hint="eastAsia" w:ascii="仿宋" w:hAnsi="仿宋" w:eastAsia="仿宋" w:cs="仿宋"/>
        </w:rPr>
        <w:t>3.3产出指标类</w:t>
      </w:r>
      <w:bookmarkEnd w:id="62"/>
      <w:bookmarkEnd w:id="63"/>
      <w:bookmarkEnd w:id="64"/>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产出指标类由4个二级指标和4个三级指标构成，权重分为32分，实际得分30分，得分率93.75%。</w:t>
      </w:r>
    </w:p>
    <w:p>
      <w:pPr>
        <w:spacing w:line="54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C.产出指标</w:t>
      </w:r>
    </w:p>
    <w:p>
      <w:pPr>
        <w:pStyle w:val="5"/>
        <w:spacing w:line="540" w:lineRule="exact"/>
        <w:ind w:firstLine="640"/>
        <w:rPr>
          <w:rFonts w:ascii="仿宋" w:hAnsi="仿宋" w:eastAsia="仿宋" w:cs="仿宋"/>
          <w:sz w:val="32"/>
          <w:szCs w:val="32"/>
        </w:rPr>
      </w:pPr>
      <w:r>
        <w:rPr>
          <w:rFonts w:hint="eastAsia" w:ascii="仿宋" w:hAnsi="仿宋" w:eastAsia="仿宋" w:cs="仿宋"/>
          <w:sz w:val="32"/>
          <w:szCs w:val="32"/>
        </w:rPr>
        <w:t>主要考察部门整体支出从数量、质量、时效和成本四个维度的达标情况，实现绩效既定目标的程度。</w:t>
      </w:r>
    </w:p>
    <w:p>
      <w:pPr>
        <w:spacing w:line="54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各指标业绩值和实际得分详见表3-3。</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表3-3 产出指标评分表</w:t>
      </w:r>
    </w:p>
    <w:tbl>
      <w:tblPr>
        <w:tblStyle w:val="1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指标</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973" w:type="dxa"/>
            <w:vAlign w:val="center"/>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实际</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C1数量指标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C1.1工作任务完成率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C2质量指标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C2.1工作质量合格率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90%</w:t>
            </w: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C3时效指标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C3.1资金拨付及时率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C4成本指标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C4.1成本控制率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32</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30</w:t>
            </w:r>
          </w:p>
        </w:tc>
      </w:tr>
    </w:tbl>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C1数量指标</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C1.1工作任务完成率</w:t>
      </w:r>
    </w:p>
    <w:p>
      <w:pPr>
        <w:widowControl/>
        <w:spacing w:line="58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根据高校园区管理处2022年工作计划，本年度任务分为4个方面、20个具体方向的工作。实际完成率=（实际完成工作数/计划工作数）×100%=（20/20）×100%=100%。因此，工作任务完成率目标值已实现。</w:t>
      </w:r>
    </w:p>
    <w:p>
      <w:pPr>
        <w:pStyle w:val="5"/>
        <w:spacing w:line="58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C2质量指标</w:t>
      </w:r>
    </w:p>
    <w:p>
      <w:pPr>
        <w:spacing w:line="58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C2.1工作质量合格率</w:t>
      </w:r>
    </w:p>
    <w:p>
      <w:pPr>
        <w:widowControl/>
        <w:spacing w:line="58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根据高校园区管理处2022年工作计划和工作总结，本年度任务分为10个方面的工作。质量合格率=（合格工作数/计划工作数）×100%=（9/10个）×100%=90%。因此，工作质量合格率目标值未完全实现。</w:t>
      </w:r>
    </w:p>
    <w:p>
      <w:pPr>
        <w:widowControl/>
        <w:spacing w:line="58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该项指标满分8分，根据评分标准得6分。</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C3时效指标</w:t>
      </w:r>
    </w:p>
    <w:p>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C3.1资金拨付及时率</w:t>
      </w:r>
    </w:p>
    <w:p>
      <w:pPr>
        <w:pStyle w:val="5"/>
        <w:spacing w:line="580" w:lineRule="exact"/>
        <w:ind w:firstLine="640"/>
        <w:rPr>
          <w:rFonts w:ascii="仿宋" w:hAnsi="仿宋" w:eastAsia="仿宋" w:cs="仿宋"/>
          <w:sz w:val="32"/>
          <w:szCs w:val="32"/>
        </w:rPr>
      </w:pPr>
      <w:r>
        <w:rPr>
          <w:rFonts w:hint="eastAsia" w:ascii="仿宋" w:hAnsi="仿宋" w:eastAsia="仿宋" w:cs="仿宋"/>
          <w:sz w:val="32"/>
          <w:szCs w:val="32"/>
        </w:rPr>
        <w:t>高校园区管理处2022年设置了“按时完成各项资金任务发放”的时限目标。拨付及时率=（实际按时限拨付资金任务数/应按时拨付资金任务数）×100%=（20/20）×100%=100%。因此，资金拨付及时率目标值已实现。</w:t>
      </w:r>
    </w:p>
    <w:p>
      <w:pPr>
        <w:pStyle w:val="5"/>
        <w:spacing w:line="58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C4成本指标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C4.1成本控制率</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根据决算公开信息，项目全年调整后预算数1236.10万元，项目全年执行数1236.10万元。成本控制率=（项目预算执行数/项目预算计划数）×100%=（1236.10万元/1236.10万元）×100%=100%。因此，成本控制率目标值已实现。</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pStyle w:val="3"/>
        <w:bidi w:val="0"/>
        <w:rPr>
          <w:rFonts w:hint="eastAsia" w:ascii="仿宋" w:hAnsi="仿宋" w:eastAsia="仿宋" w:cs="仿宋"/>
        </w:rPr>
      </w:pPr>
      <w:bookmarkStart w:id="65" w:name="_Toc815"/>
      <w:bookmarkStart w:id="66" w:name="_Toc17597"/>
      <w:bookmarkStart w:id="67" w:name="_Toc20463"/>
      <w:r>
        <w:rPr>
          <w:rFonts w:hint="eastAsia" w:ascii="仿宋" w:hAnsi="仿宋" w:eastAsia="仿宋" w:cs="仿宋"/>
        </w:rPr>
        <w:t>3.4效果指标类</w:t>
      </w:r>
      <w:bookmarkEnd w:id="65"/>
      <w:bookmarkEnd w:id="66"/>
      <w:bookmarkEnd w:id="67"/>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效果指标类由2个二级指标和4个三级指标构成，权重分为28分，实际得分26.5分，得分率94.64%。</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D.效果指标</w:t>
      </w:r>
    </w:p>
    <w:p>
      <w:pPr>
        <w:pStyle w:val="5"/>
        <w:spacing w:line="560" w:lineRule="exact"/>
        <w:ind w:firstLine="640"/>
        <w:rPr>
          <w:rFonts w:ascii="仿宋" w:hAnsi="仿宋" w:eastAsia="仿宋" w:cs="仿宋"/>
          <w:sz w:val="32"/>
          <w:szCs w:val="32"/>
        </w:rPr>
      </w:pPr>
      <w:r>
        <w:rPr>
          <w:rFonts w:hint="eastAsia" w:ascii="仿宋" w:hAnsi="仿宋" w:eastAsia="仿宋" w:cs="仿宋"/>
          <w:sz w:val="32"/>
          <w:szCs w:val="32"/>
        </w:rPr>
        <w:t>主要考察部门整体支出产生的经济效益和社会效益，服务对象的获益程度和满意度，评价项目的可持续影响。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各指标业绩值和实际得分详见表3-4。</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表3-4 效果指标评分表</w:t>
      </w:r>
    </w:p>
    <w:tbl>
      <w:tblPr>
        <w:tblStyle w:val="1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指标</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973" w:type="dxa"/>
            <w:vAlign w:val="center"/>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实际</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D1 履职效益</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D1.1经济效益</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D1.2社会效益</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D1.3可持续影响</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制度体系建设滞后</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D2 满意度</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D2.1 服务对象满意度</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c>
          <w:tcPr>
            <w:tcW w:w="197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91.25%</w:t>
            </w: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28</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26.5</w:t>
            </w:r>
          </w:p>
        </w:tc>
      </w:tr>
    </w:tbl>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 履职效益</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D11经济效益</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部门整体支出产出的经济效益总体较好，经济效益目标值基本实现。</w:t>
      </w:r>
    </w:p>
    <w:p>
      <w:pPr>
        <w:pStyle w:val="5"/>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该项指标满分6分，根据评分标准得6分。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D12社会效益</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部门整体支出产出的社会效益总体较好，经济效益目标值基本实现。</w:t>
      </w:r>
    </w:p>
    <w:p>
      <w:pPr>
        <w:pStyle w:val="5"/>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该项指标满分6分，根据评分标准得6分。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D13可持续影响</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可持续影响总体较好，经济效益目标值基本实现取得诸多工作成效的同时，在强化单位自身建设工作方面，存在制度体系建设相对滞后的不足，在一定程度上，对部门履职能力的提升带来不利影响。因此，可持续影响目标值未完全实现。</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该项指标满分6分，根据评分标准得4.5分。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D2 满意度</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D21 服务对象满意度</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经评价小组与高校园区管理处商定，以高校园区管理处的服务对象满意度调查结果为参考，目标值设定为服务对象满意度≥90%，以该调查结果作为部门整体支出满意度指标的衡量依据。该项指标通过向服务对象做满意度调查，设置问题是“您对2022年高校园区管理处的服务总体上满意吗？”。满意度=（选择“非常满意”样本数+“满意”样本数×0.9+“一般”样本数 ×0.6+“不满意”样本数×0.3+“很不满意”样本数×0）/总样本数×100%=（46+35×0.9+8×0.6+0×0.3+1×0）/90×100%=91.44%。</w:t>
      </w: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因此，评价认为项目满意度指标实现目标值。</w:t>
      </w:r>
    </w:p>
    <w:p>
      <w:pPr>
        <w:pStyle w:val="5"/>
        <w:spacing w:line="520" w:lineRule="exact"/>
        <w:ind w:firstLine="640"/>
        <w:rPr>
          <w:rFonts w:hint="eastAsia" w:ascii="仿宋" w:hAnsi="仿宋" w:eastAsia="仿宋" w:cs="仿宋"/>
          <w:sz w:val="32"/>
          <w:szCs w:val="32"/>
        </w:rPr>
      </w:pPr>
      <w:r>
        <w:rPr>
          <w:rFonts w:hint="eastAsia" w:ascii="仿宋" w:hAnsi="仿宋" w:eastAsia="仿宋" w:cs="仿宋"/>
          <w:sz w:val="32"/>
          <w:szCs w:val="32"/>
        </w:rPr>
        <w:t>该项指标满分10分，根据评分标准得 10分。</w:t>
      </w:r>
    </w:p>
    <w:p>
      <w:pPr>
        <w:pStyle w:val="5"/>
        <w:spacing w:line="520" w:lineRule="exact"/>
        <w:ind w:firstLine="640"/>
        <w:rPr>
          <w:rFonts w:hint="eastAsia" w:ascii="仿宋" w:hAnsi="仿宋" w:eastAsia="仿宋" w:cs="仿宋"/>
          <w:sz w:val="32"/>
          <w:szCs w:val="32"/>
        </w:rPr>
      </w:pPr>
    </w:p>
    <w:p>
      <w:pPr>
        <w:pStyle w:val="2"/>
        <w:numPr>
          <w:ilvl w:val="0"/>
          <w:numId w:val="0"/>
        </w:numPr>
        <w:bidi w:val="0"/>
        <w:jc w:val="both"/>
        <w:rPr>
          <w:rFonts w:hint="eastAsia" w:ascii="仿宋" w:hAnsi="仿宋" w:eastAsia="仿宋" w:cs="仿宋"/>
          <w:sz w:val="32"/>
          <w:szCs w:val="32"/>
        </w:rPr>
      </w:pPr>
      <w:bookmarkStart w:id="68" w:name="_Toc1375"/>
      <w:bookmarkStart w:id="69" w:name="_Toc2389"/>
      <w:r>
        <w:rPr>
          <w:rFonts w:hint="eastAsia" w:ascii="仿宋" w:hAnsi="仿宋" w:eastAsia="仿宋" w:cs="仿宋"/>
          <w:sz w:val="32"/>
          <w:szCs w:val="32"/>
          <w:lang w:val="en-US" w:eastAsia="zh-CN"/>
        </w:rPr>
        <w:t>四、</w:t>
      </w:r>
      <w:r>
        <w:rPr>
          <w:rFonts w:hint="eastAsia" w:ascii="仿宋" w:hAnsi="仿宋" w:eastAsia="仿宋" w:cs="仿宋"/>
          <w:sz w:val="32"/>
          <w:szCs w:val="32"/>
        </w:rPr>
        <w:t>绩效评价结论</w:t>
      </w:r>
      <w:bookmarkEnd w:id="68"/>
      <w:bookmarkEnd w:id="69"/>
    </w:p>
    <w:p>
      <w:pPr>
        <w:rPr>
          <w:rFonts w:hint="eastAsia"/>
        </w:rPr>
      </w:pPr>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本次评价在资料查阅、现场调研及访谈基础上，对赣州蓉江新区高校园区管理处2022年度部门整体支出绩效进行逐项打分、客观评价，等级设为四档：90（含）-100分为优、80（含）-90分为良、60（含）-80分为中等、60分以下为差</w:t>
      </w:r>
      <w:r>
        <w:rPr>
          <w:rFonts w:hint="eastAsia" w:ascii="仿宋" w:hAnsi="仿宋" w:eastAsia="仿宋" w:cs="仿宋"/>
          <w:sz w:val="32"/>
          <w:szCs w:val="32"/>
          <w:lang w:eastAsia="zh-CN"/>
        </w:rPr>
        <w:t>，</w:t>
      </w:r>
      <w:r>
        <w:rPr>
          <w:rFonts w:hint="eastAsia" w:ascii="仿宋" w:hAnsi="仿宋" w:eastAsia="仿宋" w:cs="仿宋"/>
          <w:sz w:val="32"/>
          <w:szCs w:val="32"/>
        </w:rPr>
        <w:t>最终评分结果：</w:t>
      </w:r>
      <w:bookmarkStart w:id="70" w:name="_Toc1207"/>
      <w:bookmarkStart w:id="71" w:name="_Toc30724"/>
      <w:r>
        <w:rPr>
          <w:rFonts w:hint="eastAsia" w:ascii="仿宋" w:hAnsi="仿宋" w:eastAsia="仿宋" w:cs="仿宋"/>
          <w:sz w:val="32"/>
          <w:szCs w:val="32"/>
        </w:rPr>
        <w:t>总得分为 85.5分，绩效评级为“良”。</w:t>
      </w:r>
    </w:p>
    <w:p>
      <w:pPr>
        <w:spacing w:line="52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6"/>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11</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18</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30</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73.33%</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72%</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93.75%</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85.5%</w:t>
            </w:r>
          </w:p>
        </w:tc>
      </w:tr>
    </w:tbl>
    <w:p>
      <w:pPr>
        <w:bidi w:val="0"/>
        <w:rPr>
          <w:rFonts w:hint="eastAsia"/>
          <w:lang w:val="en-US" w:eastAsia="zh-CN"/>
        </w:rPr>
      </w:pPr>
    </w:p>
    <w:p>
      <w:pPr>
        <w:bidi w:val="0"/>
        <w:rPr>
          <w:rFonts w:hint="eastAsia"/>
          <w:lang w:val="en-US" w:eastAsia="zh-CN"/>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pStyle w:val="2"/>
        <w:bidi w:val="0"/>
        <w:jc w:val="both"/>
        <w:rPr>
          <w:rFonts w:hint="eastAsia" w:ascii="仿宋" w:hAnsi="仿宋" w:eastAsia="仿宋" w:cs="仿宋"/>
          <w:sz w:val="32"/>
          <w:szCs w:val="32"/>
        </w:rPr>
      </w:pPr>
      <w:r>
        <w:rPr>
          <w:rFonts w:hint="eastAsia" w:ascii="仿宋" w:hAnsi="仿宋" w:eastAsia="仿宋" w:cs="仿宋"/>
          <w:sz w:val="32"/>
          <w:szCs w:val="32"/>
          <w:lang w:val="en-US" w:eastAsia="zh-CN"/>
        </w:rPr>
        <w:t>五</w:t>
      </w:r>
      <w:r>
        <w:rPr>
          <w:rFonts w:hint="eastAsia" w:ascii="仿宋" w:hAnsi="仿宋" w:eastAsia="仿宋" w:cs="仿宋"/>
          <w:sz w:val="32"/>
          <w:szCs w:val="32"/>
        </w:rPr>
        <w:t>、存在的问题和建议</w:t>
      </w:r>
      <w:bookmarkEnd w:id="70"/>
      <w:bookmarkEnd w:id="71"/>
    </w:p>
    <w:p>
      <w:pPr>
        <w:pStyle w:val="3"/>
        <w:bidi w:val="0"/>
        <w:rPr>
          <w:rFonts w:hint="eastAsia" w:ascii="仿宋" w:hAnsi="仿宋" w:eastAsia="仿宋" w:cs="仿宋"/>
        </w:rPr>
      </w:pPr>
      <w:bookmarkStart w:id="72" w:name="_Toc17409"/>
      <w:bookmarkStart w:id="73" w:name="_Toc5351"/>
      <w:r>
        <w:rPr>
          <w:rFonts w:hint="eastAsia" w:ascii="仿宋" w:hAnsi="仿宋" w:eastAsia="仿宋" w:cs="仿宋"/>
        </w:rPr>
        <w:t>5.1存在的问题</w:t>
      </w:r>
      <w:bookmarkEnd w:id="72"/>
      <w:bookmarkEnd w:id="73"/>
    </w:p>
    <w:p>
      <w:pPr>
        <w:pStyle w:val="4"/>
        <w:bidi w:val="0"/>
        <w:rPr>
          <w:rFonts w:hint="eastAsia" w:ascii="仿宋" w:hAnsi="仿宋" w:eastAsia="仿宋" w:cs="仿宋"/>
        </w:rPr>
      </w:pPr>
      <w:bookmarkStart w:id="74" w:name="_Toc10162"/>
      <w:bookmarkStart w:id="75" w:name="_Toc6617"/>
      <w:r>
        <w:rPr>
          <w:rFonts w:hint="eastAsia" w:ascii="仿宋" w:hAnsi="仿宋" w:eastAsia="仿宋" w:cs="仿宋"/>
        </w:rPr>
        <w:t>5.1.1预算绩效目标管理工作方面存在不足</w:t>
      </w:r>
      <w:bookmarkEnd w:id="74"/>
      <w:bookmarkEnd w:id="75"/>
    </w:p>
    <w:p>
      <w:pPr>
        <w:spacing w:line="520" w:lineRule="exact"/>
        <w:ind w:firstLine="573"/>
        <w:jc w:val="left"/>
        <w:rPr>
          <w:rFonts w:ascii="仿宋" w:hAnsi="仿宋" w:eastAsia="仿宋" w:cs="仿宋"/>
          <w:sz w:val="32"/>
          <w:szCs w:val="32"/>
        </w:rPr>
      </w:pPr>
      <w:r>
        <w:rPr>
          <w:rFonts w:hint="eastAsia" w:ascii="仿宋" w:hAnsi="仿宋" w:eastAsia="仿宋" w:cs="仿宋"/>
          <w:sz w:val="32"/>
          <w:szCs w:val="32"/>
        </w:rPr>
        <w:t>绩效目标管理工作有待改善，存在绩效指标设立明确性不足、量化不足、科学合理性不够的情形。比照《赣州市预算绩效管理暂行办法》第四章第十一条“编报的绩效目标要能清晰反映项目决策、项目和资金管理、产出和效益；指标内涵应当明确、具体、可衡量，指标值应当科学合理、符合标准”的文件要求，高校园区管理处设置的“成本指标”为可量化指标未充分量化。同时，部分指标设置不合理，也无法体现与本年度部门预算资金的匹配性。</w:t>
      </w:r>
    </w:p>
    <w:p>
      <w:pPr>
        <w:pStyle w:val="4"/>
        <w:bidi w:val="0"/>
        <w:rPr>
          <w:rFonts w:hint="eastAsia" w:ascii="仿宋" w:hAnsi="仿宋" w:eastAsia="仿宋" w:cs="仿宋"/>
        </w:rPr>
      </w:pPr>
      <w:bookmarkStart w:id="76" w:name="_Toc2545"/>
      <w:bookmarkStart w:id="77" w:name="_Toc20388"/>
      <w:r>
        <w:rPr>
          <w:rFonts w:hint="eastAsia" w:ascii="仿宋" w:hAnsi="仿宋" w:eastAsia="仿宋" w:cs="仿宋"/>
        </w:rPr>
        <w:t>5.1.2预算绩效运行监控管理工作方面有待提高</w:t>
      </w:r>
      <w:bookmarkEnd w:id="76"/>
      <w:bookmarkEnd w:id="77"/>
    </w:p>
    <w:p>
      <w:pPr>
        <w:widowControl/>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根据《赣州市预算绩效管理暂行办法》第五章第十六条“绩效监控是指在预算执行过程中，预算部门（单位）依照职责，对预算执行情况和绩效目标实现程度开展的监督、 控制和管理活动。”、第十七条 “按照“谁支出，谁负责”的原则，各部门（单位）负责开展预算绩效日常监控，并定期对绩效监控信息进行收集、审核、分析、汇总、填报；分析偏离绩效目标的原因，并及时采取纠偏措施。”的规定，高校园区管理处在预算执行过程中，存在一定的对项目支出监控不够细致、监控信息收集不够全面的情况。</w:t>
      </w:r>
    </w:p>
    <w:p>
      <w:pPr>
        <w:pStyle w:val="4"/>
        <w:bidi w:val="0"/>
        <w:rPr>
          <w:rFonts w:hint="eastAsia" w:ascii="仿宋" w:hAnsi="仿宋" w:eastAsia="仿宋" w:cs="仿宋"/>
        </w:rPr>
      </w:pPr>
      <w:bookmarkStart w:id="78" w:name="_Toc7827"/>
      <w:bookmarkStart w:id="79" w:name="_Toc25995"/>
      <w:r>
        <w:rPr>
          <w:rFonts w:hint="eastAsia" w:ascii="仿宋" w:hAnsi="仿宋" w:eastAsia="仿宋" w:cs="仿宋"/>
        </w:rPr>
        <w:t>5.1.3预算绩效评价管理工作方面有待完善</w:t>
      </w:r>
      <w:bookmarkEnd w:id="78"/>
      <w:bookmarkEnd w:id="79"/>
    </w:p>
    <w:p>
      <w:pPr>
        <w:pStyle w:val="5"/>
        <w:spacing w:line="520" w:lineRule="exact"/>
        <w:ind w:firstLine="640"/>
        <w:rPr>
          <w:rFonts w:ascii="仿宋" w:hAnsi="仿宋" w:eastAsia="仿宋" w:cs="仿宋"/>
          <w:sz w:val="32"/>
          <w:szCs w:val="32"/>
        </w:rPr>
      </w:pPr>
      <w:r>
        <w:rPr>
          <w:rFonts w:hint="eastAsia" w:ascii="仿宋" w:hAnsi="仿宋" w:eastAsia="仿宋" w:cs="仿宋"/>
          <w:sz w:val="32"/>
          <w:szCs w:val="32"/>
        </w:rPr>
        <w:t>存在评价结果与预设目标不对应，部分评价数据不明确、不具体，部分评价依据不充分的情形。比照《赣州市预算绩效管理暂行办法》第六章第二十一条“绩效评价是依据设定的绩效目标，对财政支出的经济性、效率性、效益性和公平性进行客观、公正的测量、分析和评判”的规定，高校园区管理处未能提供整体支出绩效自评表，自评报告显示结果与预设绩效目标不匹配对应，显示的部分可量化业绩值未取得确定的数据，部分量化业绩值未提供数据来源或无法提供佐证资料。</w:t>
      </w:r>
    </w:p>
    <w:p>
      <w:pPr>
        <w:pStyle w:val="4"/>
        <w:bidi w:val="0"/>
        <w:rPr>
          <w:rFonts w:hint="eastAsia" w:ascii="仿宋" w:hAnsi="仿宋" w:eastAsia="仿宋" w:cs="仿宋"/>
        </w:rPr>
      </w:pPr>
      <w:bookmarkStart w:id="80" w:name="_Toc19678"/>
      <w:bookmarkStart w:id="81" w:name="_Toc15951"/>
      <w:r>
        <w:rPr>
          <w:rFonts w:hint="eastAsia" w:ascii="仿宋" w:hAnsi="仿宋" w:eastAsia="仿宋" w:cs="仿宋"/>
        </w:rPr>
        <w:t>5.1.4管理制度体系有待完善、制度执行有待加强</w:t>
      </w:r>
      <w:bookmarkEnd w:id="80"/>
      <w:bookmarkEnd w:id="81"/>
    </w:p>
    <w:p>
      <w:pPr>
        <w:pStyle w:val="5"/>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高校园区管理处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pStyle w:val="3"/>
        <w:bidi w:val="0"/>
        <w:rPr>
          <w:rFonts w:hint="eastAsia" w:ascii="仿宋" w:hAnsi="仿宋" w:eastAsia="仿宋" w:cs="仿宋"/>
        </w:rPr>
      </w:pPr>
      <w:bookmarkStart w:id="82" w:name="_Toc7648"/>
      <w:bookmarkStart w:id="83" w:name="_Toc27799"/>
      <w:r>
        <w:rPr>
          <w:rFonts w:hint="eastAsia" w:ascii="仿宋" w:hAnsi="仿宋" w:eastAsia="仿宋" w:cs="仿宋"/>
        </w:rPr>
        <w:t>5.2改进措施和建议</w:t>
      </w:r>
      <w:bookmarkEnd w:id="82"/>
      <w:bookmarkEnd w:id="83"/>
    </w:p>
    <w:p>
      <w:pPr>
        <w:pStyle w:val="4"/>
        <w:bidi w:val="0"/>
        <w:rPr>
          <w:rFonts w:hint="eastAsia" w:ascii="仿宋" w:hAnsi="仿宋" w:eastAsia="仿宋" w:cs="仿宋"/>
        </w:rPr>
      </w:pPr>
      <w:bookmarkStart w:id="84" w:name="_Toc13"/>
      <w:bookmarkStart w:id="85" w:name="_Toc30836"/>
      <w:r>
        <w:rPr>
          <w:rFonts w:hint="eastAsia" w:ascii="仿宋" w:hAnsi="仿宋" w:eastAsia="仿宋" w:cs="仿宋"/>
        </w:rPr>
        <w:t>5.2.1逐步建立和完善预算绩效管理体系</w:t>
      </w:r>
      <w:bookmarkEnd w:id="84"/>
      <w:bookmarkEnd w:id="85"/>
    </w:p>
    <w:p>
      <w:pPr>
        <w:pStyle w:val="5"/>
        <w:spacing w:line="520" w:lineRule="exact"/>
        <w:ind w:firstLine="640"/>
        <w:rPr>
          <w:rFonts w:ascii="仿宋" w:hAnsi="仿宋" w:eastAsia="仿宋" w:cs="仿宋"/>
          <w:b/>
          <w:sz w:val="32"/>
          <w:szCs w:val="32"/>
        </w:rPr>
      </w:pPr>
      <w:r>
        <w:rPr>
          <w:rFonts w:hint="eastAsia" w:ascii="仿宋" w:hAnsi="仿宋" w:eastAsia="仿宋" w:cs="仿宋"/>
          <w:sz w:val="32"/>
          <w:szCs w:val="32"/>
        </w:rPr>
        <w:t>在逐步建立预算绩效管理制度体系的基础上，根据部门职能和实际情况，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pStyle w:val="4"/>
        <w:bidi w:val="0"/>
        <w:rPr>
          <w:rFonts w:hint="eastAsia" w:ascii="仿宋" w:hAnsi="仿宋" w:eastAsia="仿宋" w:cs="仿宋"/>
        </w:rPr>
      </w:pPr>
      <w:bookmarkStart w:id="86" w:name="_Toc22133"/>
      <w:bookmarkStart w:id="87" w:name="_Toc26193"/>
      <w:r>
        <w:rPr>
          <w:rFonts w:hint="eastAsia" w:ascii="仿宋" w:hAnsi="仿宋" w:eastAsia="仿宋" w:cs="仿宋"/>
        </w:rPr>
        <w:t>5.2.2加强制度管理体系建设及制度的落实</w:t>
      </w:r>
      <w:bookmarkEnd w:id="86"/>
      <w:bookmarkEnd w:id="87"/>
    </w:p>
    <w:p>
      <w:pPr>
        <w:pStyle w:val="14"/>
        <w:widowControl/>
        <w:spacing w:line="520" w:lineRule="exact"/>
        <w:ind w:firstLine="539"/>
        <w:textAlignment w:val="baseline"/>
        <w:rPr>
          <w:rFonts w:ascii="仿宋" w:hAnsi="仿宋" w:eastAsia="仿宋" w:cs="仿宋"/>
          <w:sz w:val="32"/>
          <w:szCs w:val="32"/>
        </w:rPr>
      </w:pPr>
      <w:r>
        <w:rPr>
          <w:rFonts w:hint="eastAsia" w:ascii="仿宋" w:hAnsi="仿宋" w:eastAsia="仿宋" w:cs="仿宋"/>
          <w:sz w:val="32"/>
          <w:szCs w:val="32"/>
        </w:rPr>
        <w:t>在充分结合部门实际情况的基础上，进一步完善相关管理制度，如：建立健全专门的预算资金管理办法、预算绩效管理办法，完善组织机构、明确人员分工，做到责任到人；并抓好制度的落实，加强对相关制度执行的监督管理</w:t>
      </w:r>
      <w:r>
        <w:rPr>
          <w:rFonts w:ascii="仿宋" w:hAnsi="仿宋" w:eastAsia="仿宋" w:cs="仿宋"/>
          <w:sz w:val="32"/>
          <w:szCs w:val="32"/>
        </w:rPr>
        <w:t>。</w:t>
      </w:r>
    </w:p>
    <w:p>
      <w:pPr>
        <w:pStyle w:val="14"/>
        <w:widowControl/>
        <w:spacing w:line="520" w:lineRule="exact"/>
        <w:ind w:firstLine="539"/>
        <w:textAlignment w:val="baseline"/>
        <w:rPr>
          <w:rFonts w:ascii="仿宋" w:hAnsi="仿宋" w:eastAsia="仿宋" w:cs="仿宋"/>
          <w:sz w:val="32"/>
          <w:szCs w:val="32"/>
        </w:rPr>
      </w:pPr>
    </w:p>
    <w:p>
      <w:pPr>
        <w:pStyle w:val="2"/>
        <w:bidi w:val="0"/>
        <w:jc w:val="left"/>
        <w:rPr>
          <w:rFonts w:hint="eastAsia" w:ascii="仿宋" w:hAnsi="仿宋" w:eastAsia="仿宋" w:cs="仿宋"/>
          <w:sz w:val="32"/>
          <w:szCs w:val="32"/>
        </w:rPr>
      </w:pPr>
      <w:bookmarkStart w:id="88" w:name="_Toc9940"/>
      <w:bookmarkStart w:id="89" w:name="_Toc1266"/>
      <w:r>
        <w:rPr>
          <w:rFonts w:hint="eastAsia" w:ascii="仿宋" w:hAnsi="仿宋" w:eastAsia="仿宋" w:cs="仿宋"/>
          <w:sz w:val="32"/>
          <w:szCs w:val="32"/>
          <w:lang w:val="en-US" w:eastAsia="zh-CN"/>
        </w:rPr>
        <w:t>六</w:t>
      </w:r>
      <w:r>
        <w:rPr>
          <w:rFonts w:hint="eastAsia" w:ascii="仿宋" w:hAnsi="仿宋" w:eastAsia="仿宋" w:cs="仿宋"/>
          <w:sz w:val="32"/>
          <w:szCs w:val="32"/>
        </w:rPr>
        <w:t>、其他事项说明</w:t>
      </w:r>
      <w:bookmarkEnd w:id="88"/>
      <w:bookmarkEnd w:id="89"/>
    </w:p>
    <w:p>
      <w:pPr>
        <w:spacing w:line="520" w:lineRule="exact"/>
        <w:ind w:firstLine="560"/>
        <w:jc w:val="left"/>
        <w:rPr>
          <w:rFonts w:ascii="仿宋" w:hAnsi="仿宋" w:eastAsia="仿宋" w:cs="仿宋"/>
          <w:sz w:val="32"/>
          <w:szCs w:val="32"/>
        </w:rPr>
      </w:pPr>
      <w:r>
        <w:rPr>
          <w:rFonts w:hint="eastAsia" w:ascii="仿宋" w:hAnsi="仿宋" w:eastAsia="仿宋" w:cs="仿宋"/>
          <w:sz w:val="32"/>
          <w:szCs w:val="32"/>
        </w:rPr>
        <w:t>（1）本绩效评价报告是在部门单位提供资料的基础上形成的。</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（2）本绩效评价报告仅供赣州蓉江新区财政局开展“</w:t>
      </w:r>
      <w:r>
        <w:rPr>
          <w:rFonts w:hint="eastAsia" w:ascii="仿宋" w:hAnsi="仿宋" w:eastAsia="仿宋"/>
          <w:sz w:val="32"/>
          <w:szCs w:val="32"/>
        </w:rPr>
        <w:t>赣州蓉江新区高校园区管理处2022年度部门整体支出</w:t>
      </w:r>
      <w:r>
        <w:rPr>
          <w:rFonts w:hint="eastAsia" w:ascii="仿宋" w:hAnsi="仿宋" w:eastAsia="仿宋" w:cs="仿宋"/>
          <w:sz w:val="32"/>
          <w:szCs w:val="32"/>
        </w:rPr>
        <w:t>”绩效评价相关工作使用，不作他用。</w:t>
      </w:r>
    </w:p>
    <w:p>
      <w:pPr>
        <w:pStyle w:val="5"/>
        <w:rPr>
          <w:rFonts w:hint="eastAsia" w:ascii="仿宋" w:hAnsi="仿宋" w:eastAsia="仿宋" w:cs="仿宋"/>
          <w:sz w:val="32"/>
          <w:szCs w:val="32"/>
        </w:rPr>
      </w:pPr>
    </w:p>
    <w:p>
      <w:pPr>
        <w:pStyle w:val="5"/>
        <w:rPr>
          <w:rFonts w:hint="eastAsia" w:ascii="仿宋" w:hAnsi="仿宋" w:eastAsia="仿宋" w:cs="仿宋"/>
          <w:sz w:val="32"/>
          <w:szCs w:val="32"/>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widowControl/>
        <w:shd w:val="clear" w:color="auto" w:fill="FFFFFF"/>
        <w:spacing w:line="360" w:lineRule="atLeast"/>
        <w:ind w:left="480"/>
        <w:jc w:val="right"/>
        <w:textAlignment w:val="baseline"/>
        <w:rPr>
          <w:rFonts w:ascii="仿宋" w:hAnsi="仿宋" w:eastAsia="仿宋"/>
          <w:sz w:val="32"/>
          <w:szCs w:val="32"/>
        </w:rPr>
      </w:pPr>
      <w:r>
        <w:rPr>
          <w:rFonts w:hint="eastAsia" w:ascii="仿宋_GB2312" w:hAnsi="Times New Roman" w:eastAsia="仿宋_GB2312" w:cs="Times New Roman"/>
          <w:kern w:val="2"/>
          <w:sz w:val="32"/>
          <w:szCs w:val="32"/>
          <w:lang w:val="en-US" w:eastAsia="zh-CN" w:bidi="ar-SA"/>
        </w:rPr>
        <w:t>2023年12月31</w:t>
      </w:r>
      <w:bookmarkStart w:id="90" w:name="_GoBack"/>
      <w:bookmarkEnd w:id="90"/>
      <w:r>
        <w:rPr>
          <w:rFonts w:hint="eastAsia" w:ascii="仿宋_GB2312" w:hAnsi="Times New Roman" w:eastAsia="仿宋_GB2312" w:cs="Times New Roman"/>
          <w:kern w:val="2"/>
          <w:sz w:val="32"/>
          <w:szCs w:val="32"/>
          <w:lang w:val="en-US" w:eastAsia="zh-CN" w:bidi="ar-SA"/>
        </w:rPr>
        <w:t>日</w:t>
      </w:r>
    </w:p>
    <w:p>
      <w:pPr>
        <w:pStyle w:val="5"/>
        <w:rPr>
          <w:rFonts w:hint="eastAsia" w:ascii="仿宋" w:hAnsi="仿宋" w:eastAsia="仿宋" w:cs="仿宋"/>
          <w:sz w:val="32"/>
          <w:szCs w:val="32"/>
        </w:rPr>
      </w:pPr>
    </w:p>
    <w:sectPr>
      <w:footerReference r:id="rId10" w:type="first"/>
      <w:footerReference r:id="rId9" w:type="default"/>
      <w:pgSz w:w="11906" w:h="16838"/>
      <w:pgMar w:top="1440" w:right="1417" w:bottom="1440" w:left="1417" w:header="851" w:footer="992"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Text Box 1028"/>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028"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LpYU0AAAAAMBAAAPAAAAAAAAAAEAIAAAACIAAABkcnMvZG93bnJldi54bWxQSwEC&#10;FAAUAAAACACHTuJAJ4HHFPwBAAAEBAAADgAAAAAAAAABACAAAAAfAQAAZHJzL2Uyb0RvYy54bWxQ&#10;SwUGAAAAAAYABgBZAQAAjQU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pPr>
    <w:r>
      <w:rPr>
        <w:rFonts w:hint="eastAsia"/>
      </w:rPr>
      <w:t>赣州蓉江新区高校园区管理处2022年度部门整体支出绩效评价报告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pPr>
    <w:r>
      <w:rPr>
        <w:rFonts w:hint="eastAsia"/>
      </w:rPr>
      <w:t>赣州蓉江新区高校园区管理处2022年度部门整体支出绩效评价报告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pPr>
    <w:r>
      <w:rPr>
        <w:rFonts w:hint="eastAsia"/>
      </w:rPr>
      <w:t>赣州蓉江新区高校园区管理处2022年度部门整体支出绩效评价报告</w:t>
    </w:r>
  </w:p>
  <w:p>
    <w:pPr>
      <w:pStyle w:val="11"/>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WIwZjg5ODFkNjdjN2ZkM2E5YTZlZmJlNDNiZjAifQ=="/>
  </w:docVars>
  <w:rsids>
    <w:rsidRoot w:val="003E6AC9"/>
    <w:rsid w:val="00000C5C"/>
    <w:rsid w:val="00000F17"/>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371C4"/>
    <w:rsid w:val="00042EC7"/>
    <w:rsid w:val="000447FC"/>
    <w:rsid w:val="00044A17"/>
    <w:rsid w:val="0004516C"/>
    <w:rsid w:val="0004595C"/>
    <w:rsid w:val="00045E90"/>
    <w:rsid w:val="0004698F"/>
    <w:rsid w:val="00047148"/>
    <w:rsid w:val="00047377"/>
    <w:rsid w:val="00047842"/>
    <w:rsid w:val="000507FE"/>
    <w:rsid w:val="00051A19"/>
    <w:rsid w:val="0005279D"/>
    <w:rsid w:val="00052D7A"/>
    <w:rsid w:val="00053F93"/>
    <w:rsid w:val="00054439"/>
    <w:rsid w:val="00054A1C"/>
    <w:rsid w:val="00054BB9"/>
    <w:rsid w:val="00055A34"/>
    <w:rsid w:val="000562FE"/>
    <w:rsid w:val="00057EDC"/>
    <w:rsid w:val="000605AD"/>
    <w:rsid w:val="00060ACB"/>
    <w:rsid w:val="00060F71"/>
    <w:rsid w:val="00061645"/>
    <w:rsid w:val="00061A32"/>
    <w:rsid w:val="00061B07"/>
    <w:rsid w:val="0006247E"/>
    <w:rsid w:val="00062ACA"/>
    <w:rsid w:val="000656B8"/>
    <w:rsid w:val="00065EEF"/>
    <w:rsid w:val="0006729D"/>
    <w:rsid w:val="00067EDB"/>
    <w:rsid w:val="00067FD4"/>
    <w:rsid w:val="00072F36"/>
    <w:rsid w:val="00073C81"/>
    <w:rsid w:val="00073E18"/>
    <w:rsid w:val="000742A1"/>
    <w:rsid w:val="00074A0C"/>
    <w:rsid w:val="00074C59"/>
    <w:rsid w:val="00074D47"/>
    <w:rsid w:val="00076980"/>
    <w:rsid w:val="00076AEF"/>
    <w:rsid w:val="00077042"/>
    <w:rsid w:val="000801C4"/>
    <w:rsid w:val="00080612"/>
    <w:rsid w:val="00082918"/>
    <w:rsid w:val="00083114"/>
    <w:rsid w:val="000841E7"/>
    <w:rsid w:val="000847DF"/>
    <w:rsid w:val="00087608"/>
    <w:rsid w:val="000876EF"/>
    <w:rsid w:val="00087741"/>
    <w:rsid w:val="0009094B"/>
    <w:rsid w:val="00090A71"/>
    <w:rsid w:val="00092299"/>
    <w:rsid w:val="000931A9"/>
    <w:rsid w:val="00093CFC"/>
    <w:rsid w:val="00094098"/>
    <w:rsid w:val="000954D5"/>
    <w:rsid w:val="000974C8"/>
    <w:rsid w:val="00097EC2"/>
    <w:rsid w:val="000A17FF"/>
    <w:rsid w:val="000A21A2"/>
    <w:rsid w:val="000A2BF8"/>
    <w:rsid w:val="000A39A6"/>
    <w:rsid w:val="000A6717"/>
    <w:rsid w:val="000A6FC4"/>
    <w:rsid w:val="000A73C3"/>
    <w:rsid w:val="000B1F31"/>
    <w:rsid w:val="000B200B"/>
    <w:rsid w:val="000B3F53"/>
    <w:rsid w:val="000B458A"/>
    <w:rsid w:val="000B4CE2"/>
    <w:rsid w:val="000C2138"/>
    <w:rsid w:val="000C2670"/>
    <w:rsid w:val="000C3059"/>
    <w:rsid w:val="000C56E7"/>
    <w:rsid w:val="000C580A"/>
    <w:rsid w:val="000C6232"/>
    <w:rsid w:val="000C7049"/>
    <w:rsid w:val="000C7C66"/>
    <w:rsid w:val="000D06B4"/>
    <w:rsid w:val="000D3327"/>
    <w:rsid w:val="000D37C7"/>
    <w:rsid w:val="000D5A42"/>
    <w:rsid w:val="000D75A9"/>
    <w:rsid w:val="000E1230"/>
    <w:rsid w:val="000E131A"/>
    <w:rsid w:val="000E2044"/>
    <w:rsid w:val="000E2068"/>
    <w:rsid w:val="000E20BE"/>
    <w:rsid w:val="000E3481"/>
    <w:rsid w:val="000E42E5"/>
    <w:rsid w:val="000E4414"/>
    <w:rsid w:val="000E5CB4"/>
    <w:rsid w:val="000F0F7E"/>
    <w:rsid w:val="000F1884"/>
    <w:rsid w:val="000F20CF"/>
    <w:rsid w:val="000F26CE"/>
    <w:rsid w:val="000F492E"/>
    <w:rsid w:val="000F6A79"/>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3E3A"/>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D1E"/>
    <w:rsid w:val="001371FA"/>
    <w:rsid w:val="00137346"/>
    <w:rsid w:val="00140A0E"/>
    <w:rsid w:val="00141DFD"/>
    <w:rsid w:val="00141F8B"/>
    <w:rsid w:val="00143AF1"/>
    <w:rsid w:val="00143CC0"/>
    <w:rsid w:val="00143CE6"/>
    <w:rsid w:val="00146E13"/>
    <w:rsid w:val="00147068"/>
    <w:rsid w:val="00147075"/>
    <w:rsid w:val="001475D1"/>
    <w:rsid w:val="00151A0B"/>
    <w:rsid w:val="00152F8A"/>
    <w:rsid w:val="00154A51"/>
    <w:rsid w:val="00154BE7"/>
    <w:rsid w:val="0015659C"/>
    <w:rsid w:val="0015759A"/>
    <w:rsid w:val="0015768D"/>
    <w:rsid w:val="00160D27"/>
    <w:rsid w:val="001620E3"/>
    <w:rsid w:val="00162692"/>
    <w:rsid w:val="001632CD"/>
    <w:rsid w:val="001660BA"/>
    <w:rsid w:val="001663E6"/>
    <w:rsid w:val="00167753"/>
    <w:rsid w:val="00167E6F"/>
    <w:rsid w:val="00171520"/>
    <w:rsid w:val="001724E2"/>
    <w:rsid w:val="00172BD8"/>
    <w:rsid w:val="001755B3"/>
    <w:rsid w:val="00176731"/>
    <w:rsid w:val="00176BCE"/>
    <w:rsid w:val="00177013"/>
    <w:rsid w:val="00183022"/>
    <w:rsid w:val="00185AC7"/>
    <w:rsid w:val="00186BD3"/>
    <w:rsid w:val="00187EED"/>
    <w:rsid w:val="00187FD0"/>
    <w:rsid w:val="00191F87"/>
    <w:rsid w:val="00194AC6"/>
    <w:rsid w:val="00194B9B"/>
    <w:rsid w:val="00194D6B"/>
    <w:rsid w:val="00195E00"/>
    <w:rsid w:val="00197568"/>
    <w:rsid w:val="001A09F7"/>
    <w:rsid w:val="001A3210"/>
    <w:rsid w:val="001A3281"/>
    <w:rsid w:val="001A359B"/>
    <w:rsid w:val="001A38D1"/>
    <w:rsid w:val="001A4822"/>
    <w:rsid w:val="001A524E"/>
    <w:rsid w:val="001A5E15"/>
    <w:rsid w:val="001A63FF"/>
    <w:rsid w:val="001A6CE3"/>
    <w:rsid w:val="001A6EF4"/>
    <w:rsid w:val="001A73EA"/>
    <w:rsid w:val="001A7AEB"/>
    <w:rsid w:val="001B1F63"/>
    <w:rsid w:val="001B1FF5"/>
    <w:rsid w:val="001B26DC"/>
    <w:rsid w:val="001B3104"/>
    <w:rsid w:val="001B3FAE"/>
    <w:rsid w:val="001B43BE"/>
    <w:rsid w:val="001B572E"/>
    <w:rsid w:val="001B5EDF"/>
    <w:rsid w:val="001B741B"/>
    <w:rsid w:val="001B7948"/>
    <w:rsid w:val="001B7BED"/>
    <w:rsid w:val="001B7E05"/>
    <w:rsid w:val="001C086B"/>
    <w:rsid w:val="001C0A86"/>
    <w:rsid w:val="001C0EC9"/>
    <w:rsid w:val="001C1493"/>
    <w:rsid w:val="001C2C10"/>
    <w:rsid w:val="001C38F8"/>
    <w:rsid w:val="001C4EAC"/>
    <w:rsid w:val="001D0DE4"/>
    <w:rsid w:val="001D101B"/>
    <w:rsid w:val="001D138C"/>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E74E9"/>
    <w:rsid w:val="001F0EA1"/>
    <w:rsid w:val="001F18D5"/>
    <w:rsid w:val="001F2BB5"/>
    <w:rsid w:val="001F388F"/>
    <w:rsid w:val="001F3AB8"/>
    <w:rsid w:val="001F6F88"/>
    <w:rsid w:val="00200CED"/>
    <w:rsid w:val="00200DD1"/>
    <w:rsid w:val="00200E88"/>
    <w:rsid w:val="00204DB6"/>
    <w:rsid w:val="0020657F"/>
    <w:rsid w:val="00212821"/>
    <w:rsid w:val="00217D81"/>
    <w:rsid w:val="00220C99"/>
    <w:rsid w:val="00221AFD"/>
    <w:rsid w:val="002232C0"/>
    <w:rsid w:val="00223950"/>
    <w:rsid w:val="002239D2"/>
    <w:rsid w:val="00224636"/>
    <w:rsid w:val="00224C70"/>
    <w:rsid w:val="0022539D"/>
    <w:rsid w:val="00225836"/>
    <w:rsid w:val="00225CAE"/>
    <w:rsid w:val="00226889"/>
    <w:rsid w:val="002273CC"/>
    <w:rsid w:val="00230F76"/>
    <w:rsid w:val="00233846"/>
    <w:rsid w:val="002404F7"/>
    <w:rsid w:val="00240B8A"/>
    <w:rsid w:val="00242276"/>
    <w:rsid w:val="00244ED8"/>
    <w:rsid w:val="00245448"/>
    <w:rsid w:val="0024653F"/>
    <w:rsid w:val="002506FB"/>
    <w:rsid w:val="00251084"/>
    <w:rsid w:val="002515BC"/>
    <w:rsid w:val="002522E5"/>
    <w:rsid w:val="002522FE"/>
    <w:rsid w:val="00252D8D"/>
    <w:rsid w:val="0025465A"/>
    <w:rsid w:val="002567EE"/>
    <w:rsid w:val="00256A3E"/>
    <w:rsid w:val="00260767"/>
    <w:rsid w:val="0026204E"/>
    <w:rsid w:val="002627AA"/>
    <w:rsid w:val="00262AD7"/>
    <w:rsid w:val="0026377E"/>
    <w:rsid w:val="00265A98"/>
    <w:rsid w:val="00266311"/>
    <w:rsid w:val="00267888"/>
    <w:rsid w:val="0027286B"/>
    <w:rsid w:val="002818C1"/>
    <w:rsid w:val="00282B7C"/>
    <w:rsid w:val="002833B1"/>
    <w:rsid w:val="002842A9"/>
    <w:rsid w:val="00285106"/>
    <w:rsid w:val="00285CB6"/>
    <w:rsid w:val="002860F0"/>
    <w:rsid w:val="00290BD5"/>
    <w:rsid w:val="00290E32"/>
    <w:rsid w:val="00291C3B"/>
    <w:rsid w:val="00291F3B"/>
    <w:rsid w:val="00292CF4"/>
    <w:rsid w:val="002971FF"/>
    <w:rsid w:val="00297F8B"/>
    <w:rsid w:val="002A0470"/>
    <w:rsid w:val="002A077B"/>
    <w:rsid w:val="002A2E8D"/>
    <w:rsid w:val="002A31C0"/>
    <w:rsid w:val="002A5ECD"/>
    <w:rsid w:val="002A70A8"/>
    <w:rsid w:val="002A73B0"/>
    <w:rsid w:val="002A7992"/>
    <w:rsid w:val="002B22E1"/>
    <w:rsid w:val="002B3429"/>
    <w:rsid w:val="002B4602"/>
    <w:rsid w:val="002B6B24"/>
    <w:rsid w:val="002C0EB7"/>
    <w:rsid w:val="002C202A"/>
    <w:rsid w:val="002C3100"/>
    <w:rsid w:val="002C551A"/>
    <w:rsid w:val="002C581E"/>
    <w:rsid w:val="002C5E82"/>
    <w:rsid w:val="002D0445"/>
    <w:rsid w:val="002D165B"/>
    <w:rsid w:val="002D1C25"/>
    <w:rsid w:val="002D21B7"/>
    <w:rsid w:val="002D331D"/>
    <w:rsid w:val="002D37B6"/>
    <w:rsid w:val="002D641C"/>
    <w:rsid w:val="002E182F"/>
    <w:rsid w:val="002E394D"/>
    <w:rsid w:val="002E3D90"/>
    <w:rsid w:val="002E4045"/>
    <w:rsid w:val="002E4318"/>
    <w:rsid w:val="002F20F7"/>
    <w:rsid w:val="002F213C"/>
    <w:rsid w:val="002F283C"/>
    <w:rsid w:val="002F3DB9"/>
    <w:rsid w:val="002F459A"/>
    <w:rsid w:val="002F4E85"/>
    <w:rsid w:val="002F53D0"/>
    <w:rsid w:val="002F58AE"/>
    <w:rsid w:val="00300633"/>
    <w:rsid w:val="0030262D"/>
    <w:rsid w:val="00302D5C"/>
    <w:rsid w:val="00305514"/>
    <w:rsid w:val="00307810"/>
    <w:rsid w:val="00310546"/>
    <w:rsid w:val="00311B9B"/>
    <w:rsid w:val="0031348A"/>
    <w:rsid w:val="0031390F"/>
    <w:rsid w:val="00313D1A"/>
    <w:rsid w:val="00317F1B"/>
    <w:rsid w:val="003237C5"/>
    <w:rsid w:val="00325681"/>
    <w:rsid w:val="00325B03"/>
    <w:rsid w:val="0032663D"/>
    <w:rsid w:val="00327A4E"/>
    <w:rsid w:val="00327AD2"/>
    <w:rsid w:val="00331B8A"/>
    <w:rsid w:val="00332D81"/>
    <w:rsid w:val="00333BF4"/>
    <w:rsid w:val="00334CFA"/>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71CD8"/>
    <w:rsid w:val="00372AD0"/>
    <w:rsid w:val="00372FE3"/>
    <w:rsid w:val="00375942"/>
    <w:rsid w:val="00376ECA"/>
    <w:rsid w:val="00377A48"/>
    <w:rsid w:val="003804E4"/>
    <w:rsid w:val="00380581"/>
    <w:rsid w:val="00380FA8"/>
    <w:rsid w:val="00381C37"/>
    <w:rsid w:val="0038208E"/>
    <w:rsid w:val="0038216F"/>
    <w:rsid w:val="00382788"/>
    <w:rsid w:val="00384EAF"/>
    <w:rsid w:val="00386911"/>
    <w:rsid w:val="00386DA0"/>
    <w:rsid w:val="003873B4"/>
    <w:rsid w:val="00387742"/>
    <w:rsid w:val="00390DD3"/>
    <w:rsid w:val="00391699"/>
    <w:rsid w:val="00391A04"/>
    <w:rsid w:val="00392603"/>
    <w:rsid w:val="00392652"/>
    <w:rsid w:val="00392F47"/>
    <w:rsid w:val="00393775"/>
    <w:rsid w:val="00393870"/>
    <w:rsid w:val="00393E7F"/>
    <w:rsid w:val="00394958"/>
    <w:rsid w:val="00397651"/>
    <w:rsid w:val="003A0E46"/>
    <w:rsid w:val="003A2947"/>
    <w:rsid w:val="003A313A"/>
    <w:rsid w:val="003A3693"/>
    <w:rsid w:val="003A43B9"/>
    <w:rsid w:val="003A43EA"/>
    <w:rsid w:val="003A7BAE"/>
    <w:rsid w:val="003B0F34"/>
    <w:rsid w:val="003B0F89"/>
    <w:rsid w:val="003B1934"/>
    <w:rsid w:val="003B211D"/>
    <w:rsid w:val="003B3C2C"/>
    <w:rsid w:val="003B57CF"/>
    <w:rsid w:val="003B58A3"/>
    <w:rsid w:val="003B591A"/>
    <w:rsid w:val="003B5AD7"/>
    <w:rsid w:val="003B750C"/>
    <w:rsid w:val="003C034E"/>
    <w:rsid w:val="003C21F6"/>
    <w:rsid w:val="003D0F5B"/>
    <w:rsid w:val="003D11C7"/>
    <w:rsid w:val="003D1302"/>
    <w:rsid w:val="003D1707"/>
    <w:rsid w:val="003D5EA2"/>
    <w:rsid w:val="003D6605"/>
    <w:rsid w:val="003D6DED"/>
    <w:rsid w:val="003E0E2E"/>
    <w:rsid w:val="003E39AF"/>
    <w:rsid w:val="003E5D16"/>
    <w:rsid w:val="003E6AC9"/>
    <w:rsid w:val="003E7376"/>
    <w:rsid w:val="003F4268"/>
    <w:rsid w:val="003F5D38"/>
    <w:rsid w:val="003F6AB7"/>
    <w:rsid w:val="003F737D"/>
    <w:rsid w:val="003F7863"/>
    <w:rsid w:val="004021AA"/>
    <w:rsid w:val="00402FE9"/>
    <w:rsid w:val="004038E1"/>
    <w:rsid w:val="0040431E"/>
    <w:rsid w:val="00404322"/>
    <w:rsid w:val="0040456E"/>
    <w:rsid w:val="00404604"/>
    <w:rsid w:val="0040483F"/>
    <w:rsid w:val="00404F43"/>
    <w:rsid w:val="0040554D"/>
    <w:rsid w:val="00406A4C"/>
    <w:rsid w:val="004101F9"/>
    <w:rsid w:val="0041067D"/>
    <w:rsid w:val="0041211E"/>
    <w:rsid w:val="004139DE"/>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546E"/>
    <w:rsid w:val="00441743"/>
    <w:rsid w:val="00443453"/>
    <w:rsid w:val="004435F3"/>
    <w:rsid w:val="00443DDE"/>
    <w:rsid w:val="00445218"/>
    <w:rsid w:val="00445977"/>
    <w:rsid w:val="00446480"/>
    <w:rsid w:val="00451D9F"/>
    <w:rsid w:val="00451EC6"/>
    <w:rsid w:val="00453BB6"/>
    <w:rsid w:val="00453CEE"/>
    <w:rsid w:val="0045448B"/>
    <w:rsid w:val="00455FF4"/>
    <w:rsid w:val="004606F0"/>
    <w:rsid w:val="00461587"/>
    <w:rsid w:val="004619CC"/>
    <w:rsid w:val="00461B9B"/>
    <w:rsid w:val="004632C0"/>
    <w:rsid w:val="00463FDE"/>
    <w:rsid w:val="004642C4"/>
    <w:rsid w:val="0046462B"/>
    <w:rsid w:val="00465C6B"/>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5E5"/>
    <w:rsid w:val="00484CD2"/>
    <w:rsid w:val="00485B27"/>
    <w:rsid w:val="0048654C"/>
    <w:rsid w:val="00486593"/>
    <w:rsid w:val="004866A7"/>
    <w:rsid w:val="00492F1B"/>
    <w:rsid w:val="004961BB"/>
    <w:rsid w:val="004A0F89"/>
    <w:rsid w:val="004A15DD"/>
    <w:rsid w:val="004A2771"/>
    <w:rsid w:val="004A2F5B"/>
    <w:rsid w:val="004A373F"/>
    <w:rsid w:val="004A47AA"/>
    <w:rsid w:val="004A5A8B"/>
    <w:rsid w:val="004A614B"/>
    <w:rsid w:val="004A7469"/>
    <w:rsid w:val="004A7FDE"/>
    <w:rsid w:val="004B0990"/>
    <w:rsid w:val="004B0A8F"/>
    <w:rsid w:val="004B1388"/>
    <w:rsid w:val="004B371B"/>
    <w:rsid w:val="004B499D"/>
    <w:rsid w:val="004B79AA"/>
    <w:rsid w:val="004C03AD"/>
    <w:rsid w:val="004C0CB1"/>
    <w:rsid w:val="004C2AE3"/>
    <w:rsid w:val="004C531B"/>
    <w:rsid w:val="004C58E9"/>
    <w:rsid w:val="004C726A"/>
    <w:rsid w:val="004D0B70"/>
    <w:rsid w:val="004D382E"/>
    <w:rsid w:val="004D51A8"/>
    <w:rsid w:val="004D6AF6"/>
    <w:rsid w:val="004D7382"/>
    <w:rsid w:val="004E03E5"/>
    <w:rsid w:val="004E1192"/>
    <w:rsid w:val="004E1F70"/>
    <w:rsid w:val="004E20D8"/>
    <w:rsid w:val="004E29DA"/>
    <w:rsid w:val="004E2C0E"/>
    <w:rsid w:val="004E3959"/>
    <w:rsid w:val="004E43AE"/>
    <w:rsid w:val="004E6A56"/>
    <w:rsid w:val="004E71B5"/>
    <w:rsid w:val="004F1B08"/>
    <w:rsid w:val="004F2687"/>
    <w:rsid w:val="004F37BC"/>
    <w:rsid w:val="004F4600"/>
    <w:rsid w:val="004F50ED"/>
    <w:rsid w:val="004F5E9E"/>
    <w:rsid w:val="004F68F3"/>
    <w:rsid w:val="004F7B55"/>
    <w:rsid w:val="004F7E1F"/>
    <w:rsid w:val="004F7F74"/>
    <w:rsid w:val="0050173E"/>
    <w:rsid w:val="0050177B"/>
    <w:rsid w:val="005039B2"/>
    <w:rsid w:val="005059BB"/>
    <w:rsid w:val="00506DCA"/>
    <w:rsid w:val="00507A75"/>
    <w:rsid w:val="0051066E"/>
    <w:rsid w:val="005107D3"/>
    <w:rsid w:val="00510853"/>
    <w:rsid w:val="0051141A"/>
    <w:rsid w:val="0051410E"/>
    <w:rsid w:val="005141A6"/>
    <w:rsid w:val="00515BB7"/>
    <w:rsid w:val="00516CCB"/>
    <w:rsid w:val="00516DFF"/>
    <w:rsid w:val="00520A86"/>
    <w:rsid w:val="00521ADD"/>
    <w:rsid w:val="00522C97"/>
    <w:rsid w:val="00525211"/>
    <w:rsid w:val="0052760B"/>
    <w:rsid w:val="00530C01"/>
    <w:rsid w:val="00530C83"/>
    <w:rsid w:val="005319AF"/>
    <w:rsid w:val="005322D4"/>
    <w:rsid w:val="005350AF"/>
    <w:rsid w:val="005362E5"/>
    <w:rsid w:val="00536808"/>
    <w:rsid w:val="00536969"/>
    <w:rsid w:val="00537CF0"/>
    <w:rsid w:val="005404B5"/>
    <w:rsid w:val="0054179B"/>
    <w:rsid w:val="00541E8F"/>
    <w:rsid w:val="00542911"/>
    <w:rsid w:val="00542D15"/>
    <w:rsid w:val="00544964"/>
    <w:rsid w:val="00547676"/>
    <w:rsid w:val="00547E63"/>
    <w:rsid w:val="00553B7C"/>
    <w:rsid w:val="00554EB6"/>
    <w:rsid w:val="00555A59"/>
    <w:rsid w:val="005561AA"/>
    <w:rsid w:val="005616E7"/>
    <w:rsid w:val="00562592"/>
    <w:rsid w:val="00563E55"/>
    <w:rsid w:val="00564FE6"/>
    <w:rsid w:val="0056500E"/>
    <w:rsid w:val="00565052"/>
    <w:rsid w:val="00565214"/>
    <w:rsid w:val="00566564"/>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0006"/>
    <w:rsid w:val="005A1B61"/>
    <w:rsid w:val="005A2A41"/>
    <w:rsid w:val="005A5C61"/>
    <w:rsid w:val="005A5F5E"/>
    <w:rsid w:val="005A63C4"/>
    <w:rsid w:val="005B1339"/>
    <w:rsid w:val="005B1448"/>
    <w:rsid w:val="005B14E1"/>
    <w:rsid w:val="005B208F"/>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2C97"/>
    <w:rsid w:val="005F3C31"/>
    <w:rsid w:val="005F3C9B"/>
    <w:rsid w:val="005F420B"/>
    <w:rsid w:val="005F5956"/>
    <w:rsid w:val="005F5F55"/>
    <w:rsid w:val="005F746A"/>
    <w:rsid w:val="005F7E75"/>
    <w:rsid w:val="00600D58"/>
    <w:rsid w:val="006010C7"/>
    <w:rsid w:val="006017E0"/>
    <w:rsid w:val="006021D7"/>
    <w:rsid w:val="00602911"/>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2D9F"/>
    <w:rsid w:val="006643BF"/>
    <w:rsid w:val="00664961"/>
    <w:rsid w:val="00665325"/>
    <w:rsid w:val="00666629"/>
    <w:rsid w:val="00666659"/>
    <w:rsid w:val="006668FB"/>
    <w:rsid w:val="006676EB"/>
    <w:rsid w:val="0066795B"/>
    <w:rsid w:val="00671C15"/>
    <w:rsid w:val="0067348B"/>
    <w:rsid w:val="006742B8"/>
    <w:rsid w:val="00674527"/>
    <w:rsid w:val="00674F05"/>
    <w:rsid w:val="00675678"/>
    <w:rsid w:val="00675726"/>
    <w:rsid w:val="0067722E"/>
    <w:rsid w:val="00677768"/>
    <w:rsid w:val="00680BB0"/>
    <w:rsid w:val="0068161A"/>
    <w:rsid w:val="00681B08"/>
    <w:rsid w:val="00682210"/>
    <w:rsid w:val="0068468E"/>
    <w:rsid w:val="0068493A"/>
    <w:rsid w:val="00686F21"/>
    <w:rsid w:val="006875C2"/>
    <w:rsid w:val="00690E2E"/>
    <w:rsid w:val="006913E5"/>
    <w:rsid w:val="00692614"/>
    <w:rsid w:val="00692695"/>
    <w:rsid w:val="006935DD"/>
    <w:rsid w:val="00693B1C"/>
    <w:rsid w:val="00694D51"/>
    <w:rsid w:val="0069587F"/>
    <w:rsid w:val="0069704D"/>
    <w:rsid w:val="006A1E1E"/>
    <w:rsid w:val="006A3EEB"/>
    <w:rsid w:val="006A46FC"/>
    <w:rsid w:val="006A6A67"/>
    <w:rsid w:val="006A7B6D"/>
    <w:rsid w:val="006A7CF6"/>
    <w:rsid w:val="006B17C4"/>
    <w:rsid w:val="006B2CE7"/>
    <w:rsid w:val="006B3599"/>
    <w:rsid w:val="006B6172"/>
    <w:rsid w:val="006B76DD"/>
    <w:rsid w:val="006B7C5A"/>
    <w:rsid w:val="006C0A88"/>
    <w:rsid w:val="006C1983"/>
    <w:rsid w:val="006C36A3"/>
    <w:rsid w:val="006C4789"/>
    <w:rsid w:val="006C5B05"/>
    <w:rsid w:val="006C5D20"/>
    <w:rsid w:val="006C6108"/>
    <w:rsid w:val="006C662A"/>
    <w:rsid w:val="006C7FE1"/>
    <w:rsid w:val="006C7FE7"/>
    <w:rsid w:val="006D0478"/>
    <w:rsid w:val="006D0CC3"/>
    <w:rsid w:val="006D1F69"/>
    <w:rsid w:val="006D5449"/>
    <w:rsid w:val="006D6214"/>
    <w:rsid w:val="006D6908"/>
    <w:rsid w:val="006D6F92"/>
    <w:rsid w:val="006E0CE9"/>
    <w:rsid w:val="006E1496"/>
    <w:rsid w:val="006E466E"/>
    <w:rsid w:val="006E4B78"/>
    <w:rsid w:val="006E4EFA"/>
    <w:rsid w:val="006E6279"/>
    <w:rsid w:val="006E6C2C"/>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478A"/>
    <w:rsid w:val="0072558C"/>
    <w:rsid w:val="007274EF"/>
    <w:rsid w:val="00727656"/>
    <w:rsid w:val="00727970"/>
    <w:rsid w:val="00727FE4"/>
    <w:rsid w:val="007330F7"/>
    <w:rsid w:val="00734C6F"/>
    <w:rsid w:val="00735A59"/>
    <w:rsid w:val="0073653B"/>
    <w:rsid w:val="007403B5"/>
    <w:rsid w:val="00740A0B"/>
    <w:rsid w:val="00741241"/>
    <w:rsid w:val="007413A1"/>
    <w:rsid w:val="00742F4A"/>
    <w:rsid w:val="00742FA9"/>
    <w:rsid w:val="00743B29"/>
    <w:rsid w:val="00746253"/>
    <w:rsid w:val="00747DA2"/>
    <w:rsid w:val="00750C38"/>
    <w:rsid w:val="00751EB4"/>
    <w:rsid w:val="00752840"/>
    <w:rsid w:val="00753C1D"/>
    <w:rsid w:val="0075497E"/>
    <w:rsid w:val="00755884"/>
    <w:rsid w:val="0075663B"/>
    <w:rsid w:val="00760A07"/>
    <w:rsid w:val="00762A89"/>
    <w:rsid w:val="00762E18"/>
    <w:rsid w:val="00762F60"/>
    <w:rsid w:val="0076354A"/>
    <w:rsid w:val="007664C9"/>
    <w:rsid w:val="00766660"/>
    <w:rsid w:val="00770C09"/>
    <w:rsid w:val="00770C2E"/>
    <w:rsid w:val="007714DC"/>
    <w:rsid w:val="00771E46"/>
    <w:rsid w:val="00772CC4"/>
    <w:rsid w:val="0077456F"/>
    <w:rsid w:val="007756FE"/>
    <w:rsid w:val="007773AD"/>
    <w:rsid w:val="00780066"/>
    <w:rsid w:val="00780BBE"/>
    <w:rsid w:val="00780FBD"/>
    <w:rsid w:val="00781195"/>
    <w:rsid w:val="00782185"/>
    <w:rsid w:val="0078278F"/>
    <w:rsid w:val="00782DC3"/>
    <w:rsid w:val="007832CB"/>
    <w:rsid w:val="007834FF"/>
    <w:rsid w:val="007835D7"/>
    <w:rsid w:val="00786826"/>
    <w:rsid w:val="007877BA"/>
    <w:rsid w:val="00787DF2"/>
    <w:rsid w:val="00790FE3"/>
    <w:rsid w:val="007914A4"/>
    <w:rsid w:val="00791A45"/>
    <w:rsid w:val="00791B1D"/>
    <w:rsid w:val="0079207F"/>
    <w:rsid w:val="00793534"/>
    <w:rsid w:val="00794D6D"/>
    <w:rsid w:val="007952AA"/>
    <w:rsid w:val="0079585D"/>
    <w:rsid w:val="007A16BA"/>
    <w:rsid w:val="007A1B5C"/>
    <w:rsid w:val="007A2299"/>
    <w:rsid w:val="007A275A"/>
    <w:rsid w:val="007A297F"/>
    <w:rsid w:val="007A3F95"/>
    <w:rsid w:val="007A5A43"/>
    <w:rsid w:val="007A5C63"/>
    <w:rsid w:val="007A657A"/>
    <w:rsid w:val="007A658E"/>
    <w:rsid w:val="007A6B65"/>
    <w:rsid w:val="007A76CC"/>
    <w:rsid w:val="007B04EB"/>
    <w:rsid w:val="007B20BB"/>
    <w:rsid w:val="007B2B4C"/>
    <w:rsid w:val="007B2D35"/>
    <w:rsid w:val="007B44EB"/>
    <w:rsid w:val="007B4502"/>
    <w:rsid w:val="007B5E1B"/>
    <w:rsid w:val="007B6EC3"/>
    <w:rsid w:val="007C01AA"/>
    <w:rsid w:val="007C06BC"/>
    <w:rsid w:val="007C06EC"/>
    <w:rsid w:val="007C0F05"/>
    <w:rsid w:val="007C16D2"/>
    <w:rsid w:val="007C1F97"/>
    <w:rsid w:val="007C2FF5"/>
    <w:rsid w:val="007C3A70"/>
    <w:rsid w:val="007C614B"/>
    <w:rsid w:val="007D0198"/>
    <w:rsid w:val="007D059E"/>
    <w:rsid w:val="007D0BD6"/>
    <w:rsid w:val="007D5750"/>
    <w:rsid w:val="007D6ADF"/>
    <w:rsid w:val="007D716D"/>
    <w:rsid w:val="007D7A3B"/>
    <w:rsid w:val="007E0083"/>
    <w:rsid w:val="007E0C81"/>
    <w:rsid w:val="007E2ADB"/>
    <w:rsid w:val="007E2C6C"/>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25CF"/>
    <w:rsid w:val="0081364C"/>
    <w:rsid w:val="0081386D"/>
    <w:rsid w:val="008146CD"/>
    <w:rsid w:val="00814B1C"/>
    <w:rsid w:val="008179CE"/>
    <w:rsid w:val="00820533"/>
    <w:rsid w:val="00820A60"/>
    <w:rsid w:val="00822588"/>
    <w:rsid w:val="00822FCA"/>
    <w:rsid w:val="00823B0F"/>
    <w:rsid w:val="00824191"/>
    <w:rsid w:val="00824A1C"/>
    <w:rsid w:val="00824AC8"/>
    <w:rsid w:val="00826274"/>
    <w:rsid w:val="00826E56"/>
    <w:rsid w:val="0082756A"/>
    <w:rsid w:val="0083010F"/>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575E8"/>
    <w:rsid w:val="0086024C"/>
    <w:rsid w:val="0086136D"/>
    <w:rsid w:val="008613D8"/>
    <w:rsid w:val="008615ED"/>
    <w:rsid w:val="0086179F"/>
    <w:rsid w:val="008622C4"/>
    <w:rsid w:val="00862575"/>
    <w:rsid w:val="00865043"/>
    <w:rsid w:val="00866ABD"/>
    <w:rsid w:val="00867B58"/>
    <w:rsid w:val="00870630"/>
    <w:rsid w:val="00870F55"/>
    <w:rsid w:val="00871098"/>
    <w:rsid w:val="00872840"/>
    <w:rsid w:val="00873E1B"/>
    <w:rsid w:val="00874E0F"/>
    <w:rsid w:val="00874F74"/>
    <w:rsid w:val="0087561B"/>
    <w:rsid w:val="008777C5"/>
    <w:rsid w:val="00880A9D"/>
    <w:rsid w:val="0088151D"/>
    <w:rsid w:val="00881E35"/>
    <w:rsid w:val="00882B53"/>
    <w:rsid w:val="008873A6"/>
    <w:rsid w:val="00887694"/>
    <w:rsid w:val="0089008D"/>
    <w:rsid w:val="008974E4"/>
    <w:rsid w:val="008A10D6"/>
    <w:rsid w:val="008A2209"/>
    <w:rsid w:val="008A2D72"/>
    <w:rsid w:val="008A2F45"/>
    <w:rsid w:val="008A370F"/>
    <w:rsid w:val="008A578E"/>
    <w:rsid w:val="008A7D3D"/>
    <w:rsid w:val="008B0E89"/>
    <w:rsid w:val="008B1781"/>
    <w:rsid w:val="008B1D8B"/>
    <w:rsid w:val="008B23CB"/>
    <w:rsid w:val="008B4468"/>
    <w:rsid w:val="008B4875"/>
    <w:rsid w:val="008B5DAC"/>
    <w:rsid w:val="008B63D6"/>
    <w:rsid w:val="008B718B"/>
    <w:rsid w:val="008B798C"/>
    <w:rsid w:val="008C14FC"/>
    <w:rsid w:val="008C28CE"/>
    <w:rsid w:val="008C2955"/>
    <w:rsid w:val="008C498F"/>
    <w:rsid w:val="008C5E6B"/>
    <w:rsid w:val="008D0E6D"/>
    <w:rsid w:val="008D183D"/>
    <w:rsid w:val="008D282B"/>
    <w:rsid w:val="008D49C5"/>
    <w:rsid w:val="008D576F"/>
    <w:rsid w:val="008D5F6B"/>
    <w:rsid w:val="008D66CF"/>
    <w:rsid w:val="008D79E1"/>
    <w:rsid w:val="008E2B0B"/>
    <w:rsid w:val="008E2C96"/>
    <w:rsid w:val="008E2F47"/>
    <w:rsid w:val="008E68B6"/>
    <w:rsid w:val="008E70C3"/>
    <w:rsid w:val="008E70F6"/>
    <w:rsid w:val="008F104A"/>
    <w:rsid w:val="008F1CAD"/>
    <w:rsid w:val="008F451F"/>
    <w:rsid w:val="008F77F5"/>
    <w:rsid w:val="00901D4E"/>
    <w:rsid w:val="009030E4"/>
    <w:rsid w:val="00903189"/>
    <w:rsid w:val="009037A0"/>
    <w:rsid w:val="00903977"/>
    <w:rsid w:val="009040CC"/>
    <w:rsid w:val="009042BE"/>
    <w:rsid w:val="009059A8"/>
    <w:rsid w:val="0090617F"/>
    <w:rsid w:val="009109F8"/>
    <w:rsid w:val="0091330C"/>
    <w:rsid w:val="00913853"/>
    <w:rsid w:val="009148C4"/>
    <w:rsid w:val="00915B26"/>
    <w:rsid w:val="009179DD"/>
    <w:rsid w:val="00921FBA"/>
    <w:rsid w:val="00923368"/>
    <w:rsid w:val="009236DB"/>
    <w:rsid w:val="00923BD9"/>
    <w:rsid w:val="009241E7"/>
    <w:rsid w:val="00925425"/>
    <w:rsid w:val="00927042"/>
    <w:rsid w:val="009270D5"/>
    <w:rsid w:val="009300DC"/>
    <w:rsid w:val="00930B66"/>
    <w:rsid w:val="009314A8"/>
    <w:rsid w:val="00931911"/>
    <w:rsid w:val="009319BF"/>
    <w:rsid w:val="00933901"/>
    <w:rsid w:val="00933FB3"/>
    <w:rsid w:val="00934317"/>
    <w:rsid w:val="00935552"/>
    <w:rsid w:val="00936404"/>
    <w:rsid w:val="0094122C"/>
    <w:rsid w:val="00943431"/>
    <w:rsid w:val="0094725E"/>
    <w:rsid w:val="00953011"/>
    <w:rsid w:val="00955AB4"/>
    <w:rsid w:val="009615AF"/>
    <w:rsid w:val="0096219A"/>
    <w:rsid w:val="00962453"/>
    <w:rsid w:val="009624F0"/>
    <w:rsid w:val="00962EC2"/>
    <w:rsid w:val="00963D61"/>
    <w:rsid w:val="00964B8B"/>
    <w:rsid w:val="00965AF3"/>
    <w:rsid w:val="00967224"/>
    <w:rsid w:val="0096758F"/>
    <w:rsid w:val="00967B13"/>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1FCD"/>
    <w:rsid w:val="009923F2"/>
    <w:rsid w:val="009927E7"/>
    <w:rsid w:val="0099421D"/>
    <w:rsid w:val="0099524C"/>
    <w:rsid w:val="009978A9"/>
    <w:rsid w:val="00997DBA"/>
    <w:rsid w:val="009A0AD0"/>
    <w:rsid w:val="009A0C6B"/>
    <w:rsid w:val="009A0E8E"/>
    <w:rsid w:val="009A0F4D"/>
    <w:rsid w:val="009A1046"/>
    <w:rsid w:val="009A1119"/>
    <w:rsid w:val="009A24B4"/>
    <w:rsid w:val="009A397F"/>
    <w:rsid w:val="009A50E3"/>
    <w:rsid w:val="009A53BC"/>
    <w:rsid w:val="009A7BFB"/>
    <w:rsid w:val="009B6D9C"/>
    <w:rsid w:val="009B7849"/>
    <w:rsid w:val="009B79D1"/>
    <w:rsid w:val="009B7F64"/>
    <w:rsid w:val="009C1517"/>
    <w:rsid w:val="009C1967"/>
    <w:rsid w:val="009C3250"/>
    <w:rsid w:val="009C590C"/>
    <w:rsid w:val="009C5E01"/>
    <w:rsid w:val="009C60E3"/>
    <w:rsid w:val="009C61E1"/>
    <w:rsid w:val="009C642F"/>
    <w:rsid w:val="009C71C9"/>
    <w:rsid w:val="009C7F08"/>
    <w:rsid w:val="009D02CB"/>
    <w:rsid w:val="009D0666"/>
    <w:rsid w:val="009D0DB0"/>
    <w:rsid w:val="009D2972"/>
    <w:rsid w:val="009D3244"/>
    <w:rsid w:val="009D47AC"/>
    <w:rsid w:val="009E14A3"/>
    <w:rsid w:val="009E1C98"/>
    <w:rsid w:val="009E1F29"/>
    <w:rsid w:val="009E26ED"/>
    <w:rsid w:val="009E2AE0"/>
    <w:rsid w:val="009E3ACF"/>
    <w:rsid w:val="009E6B99"/>
    <w:rsid w:val="009F2070"/>
    <w:rsid w:val="009F2197"/>
    <w:rsid w:val="009F2DFF"/>
    <w:rsid w:val="009F3C45"/>
    <w:rsid w:val="009F3DA3"/>
    <w:rsid w:val="009F5CA2"/>
    <w:rsid w:val="009F6561"/>
    <w:rsid w:val="009F6E6E"/>
    <w:rsid w:val="00A0041E"/>
    <w:rsid w:val="00A02405"/>
    <w:rsid w:val="00A02974"/>
    <w:rsid w:val="00A04183"/>
    <w:rsid w:val="00A0629B"/>
    <w:rsid w:val="00A063C6"/>
    <w:rsid w:val="00A10846"/>
    <w:rsid w:val="00A1114B"/>
    <w:rsid w:val="00A11658"/>
    <w:rsid w:val="00A11D74"/>
    <w:rsid w:val="00A1217D"/>
    <w:rsid w:val="00A13DBA"/>
    <w:rsid w:val="00A15140"/>
    <w:rsid w:val="00A157FD"/>
    <w:rsid w:val="00A162E0"/>
    <w:rsid w:val="00A1691C"/>
    <w:rsid w:val="00A170AD"/>
    <w:rsid w:val="00A17889"/>
    <w:rsid w:val="00A225E8"/>
    <w:rsid w:val="00A22968"/>
    <w:rsid w:val="00A2377D"/>
    <w:rsid w:val="00A24293"/>
    <w:rsid w:val="00A26E1D"/>
    <w:rsid w:val="00A274D0"/>
    <w:rsid w:val="00A27CEE"/>
    <w:rsid w:val="00A30A43"/>
    <w:rsid w:val="00A30ACC"/>
    <w:rsid w:val="00A34B57"/>
    <w:rsid w:val="00A36B29"/>
    <w:rsid w:val="00A41950"/>
    <w:rsid w:val="00A42DD4"/>
    <w:rsid w:val="00A435D3"/>
    <w:rsid w:val="00A43CFB"/>
    <w:rsid w:val="00A46E7D"/>
    <w:rsid w:val="00A47F6E"/>
    <w:rsid w:val="00A52B62"/>
    <w:rsid w:val="00A5447B"/>
    <w:rsid w:val="00A54538"/>
    <w:rsid w:val="00A54F4A"/>
    <w:rsid w:val="00A55044"/>
    <w:rsid w:val="00A556B0"/>
    <w:rsid w:val="00A57848"/>
    <w:rsid w:val="00A60503"/>
    <w:rsid w:val="00A62807"/>
    <w:rsid w:val="00A62937"/>
    <w:rsid w:val="00A6329E"/>
    <w:rsid w:val="00A63740"/>
    <w:rsid w:val="00A64E93"/>
    <w:rsid w:val="00A65BAC"/>
    <w:rsid w:val="00A65F9E"/>
    <w:rsid w:val="00A65FEE"/>
    <w:rsid w:val="00A67979"/>
    <w:rsid w:val="00A739CB"/>
    <w:rsid w:val="00A75218"/>
    <w:rsid w:val="00A806D5"/>
    <w:rsid w:val="00A81372"/>
    <w:rsid w:val="00A81E7E"/>
    <w:rsid w:val="00A8305C"/>
    <w:rsid w:val="00A83386"/>
    <w:rsid w:val="00A83798"/>
    <w:rsid w:val="00A8663C"/>
    <w:rsid w:val="00A86B75"/>
    <w:rsid w:val="00A86F8E"/>
    <w:rsid w:val="00A87F6D"/>
    <w:rsid w:val="00A90419"/>
    <w:rsid w:val="00A94685"/>
    <w:rsid w:val="00A97374"/>
    <w:rsid w:val="00AA0CBD"/>
    <w:rsid w:val="00AA2996"/>
    <w:rsid w:val="00AA2D1E"/>
    <w:rsid w:val="00AA3E91"/>
    <w:rsid w:val="00AA3FB3"/>
    <w:rsid w:val="00AA545A"/>
    <w:rsid w:val="00AA6803"/>
    <w:rsid w:val="00AA6831"/>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1FCF"/>
    <w:rsid w:val="00AE252F"/>
    <w:rsid w:val="00AE2A50"/>
    <w:rsid w:val="00AE2B17"/>
    <w:rsid w:val="00AE2BE3"/>
    <w:rsid w:val="00AE5675"/>
    <w:rsid w:val="00AF04BB"/>
    <w:rsid w:val="00AF1E24"/>
    <w:rsid w:val="00AF1EC6"/>
    <w:rsid w:val="00AF23F3"/>
    <w:rsid w:val="00AF249C"/>
    <w:rsid w:val="00AF25A5"/>
    <w:rsid w:val="00AF3B10"/>
    <w:rsid w:val="00AF4C89"/>
    <w:rsid w:val="00AF660C"/>
    <w:rsid w:val="00AF699D"/>
    <w:rsid w:val="00AF734B"/>
    <w:rsid w:val="00B0048B"/>
    <w:rsid w:val="00B0110F"/>
    <w:rsid w:val="00B024F4"/>
    <w:rsid w:val="00B02807"/>
    <w:rsid w:val="00B031BE"/>
    <w:rsid w:val="00B03847"/>
    <w:rsid w:val="00B05533"/>
    <w:rsid w:val="00B05BDA"/>
    <w:rsid w:val="00B0730A"/>
    <w:rsid w:val="00B10A08"/>
    <w:rsid w:val="00B12AD9"/>
    <w:rsid w:val="00B12AE1"/>
    <w:rsid w:val="00B15BA6"/>
    <w:rsid w:val="00B15BB4"/>
    <w:rsid w:val="00B15BE8"/>
    <w:rsid w:val="00B16FC2"/>
    <w:rsid w:val="00B17920"/>
    <w:rsid w:val="00B20B82"/>
    <w:rsid w:val="00B22106"/>
    <w:rsid w:val="00B225FD"/>
    <w:rsid w:val="00B2312C"/>
    <w:rsid w:val="00B23FE1"/>
    <w:rsid w:val="00B25334"/>
    <w:rsid w:val="00B34FB5"/>
    <w:rsid w:val="00B3595B"/>
    <w:rsid w:val="00B36FC4"/>
    <w:rsid w:val="00B37AA1"/>
    <w:rsid w:val="00B40B8F"/>
    <w:rsid w:val="00B410E9"/>
    <w:rsid w:val="00B41556"/>
    <w:rsid w:val="00B42106"/>
    <w:rsid w:val="00B421EA"/>
    <w:rsid w:val="00B42673"/>
    <w:rsid w:val="00B433E3"/>
    <w:rsid w:val="00B438C4"/>
    <w:rsid w:val="00B43BF2"/>
    <w:rsid w:val="00B44D0E"/>
    <w:rsid w:val="00B4756D"/>
    <w:rsid w:val="00B5186A"/>
    <w:rsid w:val="00B51AF6"/>
    <w:rsid w:val="00B54132"/>
    <w:rsid w:val="00B5457F"/>
    <w:rsid w:val="00B54918"/>
    <w:rsid w:val="00B55316"/>
    <w:rsid w:val="00B5591E"/>
    <w:rsid w:val="00B55C8F"/>
    <w:rsid w:val="00B55FC0"/>
    <w:rsid w:val="00B617C5"/>
    <w:rsid w:val="00B61A10"/>
    <w:rsid w:val="00B63057"/>
    <w:rsid w:val="00B645DB"/>
    <w:rsid w:val="00B675E0"/>
    <w:rsid w:val="00B70F8B"/>
    <w:rsid w:val="00B73E87"/>
    <w:rsid w:val="00B7400F"/>
    <w:rsid w:val="00B749E4"/>
    <w:rsid w:val="00B7530B"/>
    <w:rsid w:val="00B77678"/>
    <w:rsid w:val="00B807E7"/>
    <w:rsid w:val="00B80A29"/>
    <w:rsid w:val="00B81097"/>
    <w:rsid w:val="00B810A2"/>
    <w:rsid w:val="00B814C4"/>
    <w:rsid w:val="00B81BB8"/>
    <w:rsid w:val="00B875F2"/>
    <w:rsid w:val="00B90B28"/>
    <w:rsid w:val="00B919DA"/>
    <w:rsid w:val="00B9414B"/>
    <w:rsid w:val="00B95ECE"/>
    <w:rsid w:val="00B96044"/>
    <w:rsid w:val="00B9624F"/>
    <w:rsid w:val="00B96D81"/>
    <w:rsid w:val="00B970D9"/>
    <w:rsid w:val="00B974C7"/>
    <w:rsid w:val="00B97759"/>
    <w:rsid w:val="00B97AC8"/>
    <w:rsid w:val="00BA3278"/>
    <w:rsid w:val="00BA3EFE"/>
    <w:rsid w:val="00BA4CC3"/>
    <w:rsid w:val="00BB0976"/>
    <w:rsid w:val="00BB0DAA"/>
    <w:rsid w:val="00BB23DD"/>
    <w:rsid w:val="00BB2FAD"/>
    <w:rsid w:val="00BB3F0B"/>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E678F"/>
    <w:rsid w:val="00BF14D1"/>
    <w:rsid w:val="00BF1871"/>
    <w:rsid w:val="00BF18BA"/>
    <w:rsid w:val="00BF4050"/>
    <w:rsid w:val="00BF6783"/>
    <w:rsid w:val="00BF68AB"/>
    <w:rsid w:val="00BF7C1F"/>
    <w:rsid w:val="00BF7CFE"/>
    <w:rsid w:val="00C000D7"/>
    <w:rsid w:val="00C00154"/>
    <w:rsid w:val="00C0207B"/>
    <w:rsid w:val="00C04E1E"/>
    <w:rsid w:val="00C055EF"/>
    <w:rsid w:val="00C06659"/>
    <w:rsid w:val="00C07AD8"/>
    <w:rsid w:val="00C106E6"/>
    <w:rsid w:val="00C14975"/>
    <w:rsid w:val="00C1568C"/>
    <w:rsid w:val="00C16194"/>
    <w:rsid w:val="00C17A93"/>
    <w:rsid w:val="00C204AA"/>
    <w:rsid w:val="00C220BA"/>
    <w:rsid w:val="00C226EB"/>
    <w:rsid w:val="00C25051"/>
    <w:rsid w:val="00C25708"/>
    <w:rsid w:val="00C2627E"/>
    <w:rsid w:val="00C3242C"/>
    <w:rsid w:val="00C361A5"/>
    <w:rsid w:val="00C36730"/>
    <w:rsid w:val="00C36AA9"/>
    <w:rsid w:val="00C36ABA"/>
    <w:rsid w:val="00C36DA7"/>
    <w:rsid w:val="00C40040"/>
    <w:rsid w:val="00C42485"/>
    <w:rsid w:val="00C4288C"/>
    <w:rsid w:val="00C436D0"/>
    <w:rsid w:val="00C44A9B"/>
    <w:rsid w:val="00C452E3"/>
    <w:rsid w:val="00C454AC"/>
    <w:rsid w:val="00C46AB7"/>
    <w:rsid w:val="00C47A7C"/>
    <w:rsid w:val="00C51FED"/>
    <w:rsid w:val="00C52655"/>
    <w:rsid w:val="00C533CC"/>
    <w:rsid w:val="00C54461"/>
    <w:rsid w:val="00C55424"/>
    <w:rsid w:val="00C55549"/>
    <w:rsid w:val="00C55B9B"/>
    <w:rsid w:val="00C57785"/>
    <w:rsid w:val="00C57C10"/>
    <w:rsid w:val="00C60758"/>
    <w:rsid w:val="00C625F8"/>
    <w:rsid w:val="00C636F3"/>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3601"/>
    <w:rsid w:val="00C84D47"/>
    <w:rsid w:val="00C9076A"/>
    <w:rsid w:val="00C91588"/>
    <w:rsid w:val="00C91E29"/>
    <w:rsid w:val="00C92699"/>
    <w:rsid w:val="00C944ED"/>
    <w:rsid w:val="00C95D5A"/>
    <w:rsid w:val="00CA4CAB"/>
    <w:rsid w:val="00CA4CD4"/>
    <w:rsid w:val="00CA5734"/>
    <w:rsid w:val="00CA5C10"/>
    <w:rsid w:val="00CA6644"/>
    <w:rsid w:val="00CA6E2D"/>
    <w:rsid w:val="00CB33E6"/>
    <w:rsid w:val="00CB5569"/>
    <w:rsid w:val="00CB5A31"/>
    <w:rsid w:val="00CC0423"/>
    <w:rsid w:val="00CC153A"/>
    <w:rsid w:val="00CC153C"/>
    <w:rsid w:val="00CC1D7D"/>
    <w:rsid w:val="00CC27DE"/>
    <w:rsid w:val="00CC419B"/>
    <w:rsid w:val="00CC4883"/>
    <w:rsid w:val="00CC5BA7"/>
    <w:rsid w:val="00CC5E68"/>
    <w:rsid w:val="00CC5F26"/>
    <w:rsid w:val="00CC6415"/>
    <w:rsid w:val="00CC77CC"/>
    <w:rsid w:val="00CD0029"/>
    <w:rsid w:val="00CD1976"/>
    <w:rsid w:val="00CD2CE8"/>
    <w:rsid w:val="00CD38A6"/>
    <w:rsid w:val="00CD38BC"/>
    <w:rsid w:val="00CD3E1B"/>
    <w:rsid w:val="00CD40CF"/>
    <w:rsid w:val="00CD5E85"/>
    <w:rsid w:val="00CD7272"/>
    <w:rsid w:val="00CD73BB"/>
    <w:rsid w:val="00CE00C8"/>
    <w:rsid w:val="00CE0A62"/>
    <w:rsid w:val="00CE15C9"/>
    <w:rsid w:val="00CE354D"/>
    <w:rsid w:val="00CE35BF"/>
    <w:rsid w:val="00CE37F2"/>
    <w:rsid w:val="00CE47D8"/>
    <w:rsid w:val="00CE63F3"/>
    <w:rsid w:val="00CE7AAD"/>
    <w:rsid w:val="00CF1AE0"/>
    <w:rsid w:val="00CF1D57"/>
    <w:rsid w:val="00CF392D"/>
    <w:rsid w:val="00CF4105"/>
    <w:rsid w:val="00CF4F7C"/>
    <w:rsid w:val="00CF602E"/>
    <w:rsid w:val="00CF7A3E"/>
    <w:rsid w:val="00CF7E18"/>
    <w:rsid w:val="00D004B1"/>
    <w:rsid w:val="00D0099C"/>
    <w:rsid w:val="00D039E9"/>
    <w:rsid w:val="00D050F8"/>
    <w:rsid w:val="00D05E53"/>
    <w:rsid w:val="00D06093"/>
    <w:rsid w:val="00D07FFA"/>
    <w:rsid w:val="00D10DDF"/>
    <w:rsid w:val="00D11772"/>
    <w:rsid w:val="00D11DA9"/>
    <w:rsid w:val="00D12198"/>
    <w:rsid w:val="00D128E1"/>
    <w:rsid w:val="00D13F66"/>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598"/>
    <w:rsid w:val="00D41267"/>
    <w:rsid w:val="00D41FBF"/>
    <w:rsid w:val="00D430C5"/>
    <w:rsid w:val="00D432D7"/>
    <w:rsid w:val="00D432FB"/>
    <w:rsid w:val="00D43DAC"/>
    <w:rsid w:val="00D47BC3"/>
    <w:rsid w:val="00D47F75"/>
    <w:rsid w:val="00D500B5"/>
    <w:rsid w:val="00D50231"/>
    <w:rsid w:val="00D50B9E"/>
    <w:rsid w:val="00D51B0A"/>
    <w:rsid w:val="00D5417D"/>
    <w:rsid w:val="00D54197"/>
    <w:rsid w:val="00D546CF"/>
    <w:rsid w:val="00D54EB6"/>
    <w:rsid w:val="00D55DB8"/>
    <w:rsid w:val="00D569DA"/>
    <w:rsid w:val="00D57040"/>
    <w:rsid w:val="00D577F1"/>
    <w:rsid w:val="00D57C90"/>
    <w:rsid w:val="00D57FC6"/>
    <w:rsid w:val="00D61002"/>
    <w:rsid w:val="00D62D27"/>
    <w:rsid w:val="00D62F97"/>
    <w:rsid w:val="00D64430"/>
    <w:rsid w:val="00D66F76"/>
    <w:rsid w:val="00D7037F"/>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85195"/>
    <w:rsid w:val="00D90C2C"/>
    <w:rsid w:val="00D91785"/>
    <w:rsid w:val="00D9316C"/>
    <w:rsid w:val="00D947A5"/>
    <w:rsid w:val="00D950D4"/>
    <w:rsid w:val="00D96E5B"/>
    <w:rsid w:val="00D96EFD"/>
    <w:rsid w:val="00D973B1"/>
    <w:rsid w:val="00D97A6F"/>
    <w:rsid w:val="00D97C6C"/>
    <w:rsid w:val="00DA0423"/>
    <w:rsid w:val="00DA1371"/>
    <w:rsid w:val="00DA2133"/>
    <w:rsid w:val="00DA3186"/>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478B"/>
    <w:rsid w:val="00DD53DD"/>
    <w:rsid w:val="00DD7096"/>
    <w:rsid w:val="00DD7861"/>
    <w:rsid w:val="00DE035C"/>
    <w:rsid w:val="00DE08F4"/>
    <w:rsid w:val="00DE0EC0"/>
    <w:rsid w:val="00DE1D81"/>
    <w:rsid w:val="00DE2B01"/>
    <w:rsid w:val="00DE430E"/>
    <w:rsid w:val="00DE451C"/>
    <w:rsid w:val="00DE5DE6"/>
    <w:rsid w:val="00DF12D9"/>
    <w:rsid w:val="00DF153C"/>
    <w:rsid w:val="00DF1D88"/>
    <w:rsid w:val="00DF6841"/>
    <w:rsid w:val="00DF7707"/>
    <w:rsid w:val="00E017E0"/>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CB9"/>
    <w:rsid w:val="00E349E1"/>
    <w:rsid w:val="00E362DA"/>
    <w:rsid w:val="00E36FCE"/>
    <w:rsid w:val="00E424B7"/>
    <w:rsid w:val="00E4355F"/>
    <w:rsid w:val="00E43645"/>
    <w:rsid w:val="00E43D58"/>
    <w:rsid w:val="00E46893"/>
    <w:rsid w:val="00E46B95"/>
    <w:rsid w:val="00E46E83"/>
    <w:rsid w:val="00E472F2"/>
    <w:rsid w:val="00E47668"/>
    <w:rsid w:val="00E50F00"/>
    <w:rsid w:val="00E52C77"/>
    <w:rsid w:val="00E5429B"/>
    <w:rsid w:val="00E5443A"/>
    <w:rsid w:val="00E5457B"/>
    <w:rsid w:val="00E55F60"/>
    <w:rsid w:val="00E56496"/>
    <w:rsid w:val="00E56544"/>
    <w:rsid w:val="00E57BCC"/>
    <w:rsid w:val="00E603F2"/>
    <w:rsid w:val="00E6066B"/>
    <w:rsid w:val="00E6106D"/>
    <w:rsid w:val="00E63364"/>
    <w:rsid w:val="00E63AE1"/>
    <w:rsid w:val="00E6480B"/>
    <w:rsid w:val="00E648B0"/>
    <w:rsid w:val="00E6630F"/>
    <w:rsid w:val="00E66731"/>
    <w:rsid w:val="00E6776A"/>
    <w:rsid w:val="00E706E2"/>
    <w:rsid w:val="00E7070A"/>
    <w:rsid w:val="00E720AC"/>
    <w:rsid w:val="00E759BE"/>
    <w:rsid w:val="00E7601A"/>
    <w:rsid w:val="00E7692D"/>
    <w:rsid w:val="00E77401"/>
    <w:rsid w:val="00E81CBA"/>
    <w:rsid w:val="00E83CF2"/>
    <w:rsid w:val="00E8678C"/>
    <w:rsid w:val="00E86ECE"/>
    <w:rsid w:val="00E9030E"/>
    <w:rsid w:val="00E90527"/>
    <w:rsid w:val="00E91AAA"/>
    <w:rsid w:val="00E9360D"/>
    <w:rsid w:val="00E9405A"/>
    <w:rsid w:val="00EA0000"/>
    <w:rsid w:val="00EA0197"/>
    <w:rsid w:val="00EA0214"/>
    <w:rsid w:val="00EA25FC"/>
    <w:rsid w:val="00EA28C3"/>
    <w:rsid w:val="00EA2ADB"/>
    <w:rsid w:val="00EA504D"/>
    <w:rsid w:val="00EA70B5"/>
    <w:rsid w:val="00EA7140"/>
    <w:rsid w:val="00EA785C"/>
    <w:rsid w:val="00EB01FB"/>
    <w:rsid w:val="00EB1BEE"/>
    <w:rsid w:val="00EB2B82"/>
    <w:rsid w:val="00EB5BFA"/>
    <w:rsid w:val="00EC05D9"/>
    <w:rsid w:val="00EC11EA"/>
    <w:rsid w:val="00EC2743"/>
    <w:rsid w:val="00EC3AEC"/>
    <w:rsid w:val="00EC3B6E"/>
    <w:rsid w:val="00EC4AFF"/>
    <w:rsid w:val="00EC4C45"/>
    <w:rsid w:val="00EC4C96"/>
    <w:rsid w:val="00EC514E"/>
    <w:rsid w:val="00EC534F"/>
    <w:rsid w:val="00EC609F"/>
    <w:rsid w:val="00EC60A5"/>
    <w:rsid w:val="00EC7081"/>
    <w:rsid w:val="00ED0F3C"/>
    <w:rsid w:val="00ED176C"/>
    <w:rsid w:val="00ED1BAD"/>
    <w:rsid w:val="00ED1D02"/>
    <w:rsid w:val="00ED1FB1"/>
    <w:rsid w:val="00ED277A"/>
    <w:rsid w:val="00ED4E85"/>
    <w:rsid w:val="00ED5D84"/>
    <w:rsid w:val="00EE01EE"/>
    <w:rsid w:val="00EE0E35"/>
    <w:rsid w:val="00EE5378"/>
    <w:rsid w:val="00EE6551"/>
    <w:rsid w:val="00EE6D25"/>
    <w:rsid w:val="00EE7867"/>
    <w:rsid w:val="00EE7BDC"/>
    <w:rsid w:val="00EF1AF6"/>
    <w:rsid w:val="00EF1D6C"/>
    <w:rsid w:val="00EF293D"/>
    <w:rsid w:val="00EF310F"/>
    <w:rsid w:val="00EF43BB"/>
    <w:rsid w:val="00EF5BB5"/>
    <w:rsid w:val="00EF7432"/>
    <w:rsid w:val="00F00FCB"/>
    <w:rsid w:val="00F01213"/>
    <w:rsid w:val="00F01DF4"/>
    <w:rsid w:val="00F058B2"/>
    <w:rsid w:val="00F05B5B"/>
    <w:rsid w:val="00F07782"/>
    <w:rsid w:val="00F10506"/>
    <w:rsid w:val="00F10B53"/>
    <w:rsid w:val="00F1313A"/>
    <w:rsid w:val="00F143A5"/>
    <w:rsid w:val="00F20795"/>
    <w:rsid w:val="00F2094B"/>
    <w:rsid w:val="00F2180C"/>
    <w:rsid w:val="00F23066"/>
    <w:rsid w:val="00F23082"/>
    <w:rsid w:val="00F230A1"/>
    <w:rsid w:val="00F23E6F"/>
    <w:rsid w:val="00F24ABE"/>
    <w:rsid w:val="00F2528B"/>
    <w:rsid w:val="00F25984"/>
    <w:rsid w:val="00F26A2D"/>
    <w:rsid w:val="00F2718A"/>
    <w:rsid w:val="00F30303"/>
    <w:rsid w:val="00F317D8"/>
    <w:rsid w:val="00F321CF"/>
    <w:rsid w:val="00F32803"/>
    <w:rsid w:val="00F3280D"/>
    <w:rsid w:val="00F32BA1"/>
    <w:rsid w:val="00F33510"/>
    <w:rsid w:val="00F34E37"/>
    <w:rsid w:val="00F35D67"/>
    <w:rsid w:val="00F361E9"/>
    <w:rsid w:val="00F362BD"/>
    <w:rsid w:val="00F363DE"/>
    <w:rsid w:val="00F37340"/>
    <w:rsid w:val="00F37D7A"/>
    <w:rsid w:val="00F4208A"/>
    <w:rsid w:val="00F44CA9"/>
    <w:rsid w:val="00F451C5"/>
    <w:rsid w:val="00F4587E"/>
    <w:rsid w:val="00F460DE"/>
    <w:rsid w:val="00F518EF"/>
    <w:rsid w:val="00F519E1"/>
    <w:rsid w:val="00F51AE5"/>
    <w:rsid w:val="00F534CE"/>
    <w:rsid w:val="00F545EC"/>
    <w:rsid w:val="00F553C4"/>
    <w:rsid w:val="00F57187"/>
    <w:rsid w:val="00F6113F"/>
    <w:rsid w:val="00F6317B"/>
    <w:rsid w:val="00F63457"/>
    <w:rsid w:val="00F636DA"/>
    <w:rsid w:val="00F6379B"/>
    <w:rsid w:val="00F64EFC"/>
    <w:rsid w:val="00F653D5"/>
    <w:rsid w:val="00F65C8F"/>
    <w:rsid w:val="00F66133"/>
    <w:rsid w:val="00F67945"/>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3A84"/>
    <w:rsid w:val="00F94907"/>
    <w:rsid w:val="00F94B4B"/>
    <w:rsid w:val="00F94BAD"/>
    <w:rsid w:val="00F97DD1"/>
    <w:rsid w:val="00FA0264"/>
    <w:rsid w:val="00FA1658"/>
    <w:rsid w:val="00FA29DD"/>
    <w:rsid w:val="00FA3C80"/>
    <w:rsid w:val="00FA50BF"/>
    <w:rsid w:val="00FA58C8"/>
    <w:rsid w:val="00FB0C69"/>
    <w:rsid w:val="00FB0D77"/>
    <w:rsid w:val="00FB638A"/>
    <w:rsid w:val="00FB67CF"/>
    <w:rsid w:val="00FB70D3"/>
    <w:rsid w:val="00FB7B5D"/>
    <w:rsid w:val="00FC0DCE"/>
    <w:rsid w:val="00FC0F74"/>
    <w:rsid w:val="00FC3420"/>
    <w:rsid w:val="00FC6739"/>
    <w:rsid w:val="00FC726D"/>
    <w:rsid w:val="00FD0EA7"/>
    <w:rsid w:val="00FD10E7"/>
    <w:rsid w:val="00FD1C16"/>
    <w:rsid w:val="00FD3129"/>
    <w:rsid w:val="00FD416B"/>
    <w:rsid w:val="00FD4819"/>
    <w:rsid w:val="00FD50A4"/>
    <w:rsid w:val="00FD73B2"/>
    <w:rsid w:val="00FD79A0"/>
    <w:rsid w:val="00FE056B"/>
    <w:rsid w:val="00FE139D"/>
    <w:rsid w:val="00FE2C0E"/>
    <w:rsid w:val="00FE33E1"/>
    <w:rsid w:val="00FE35B7"/>
    <w:rsid w:val="00FE36E3"/>
    <w:rsid w:val="00FE3E51"/>
    <w:rsid w:val="00FE4304"/>
    <w:rsid w:val="00FE5DB9"/>
    <w:rsid w:val="00FE710E"/>
    <w:rsid w:val="00FF0AE0"/>
    <w:rsid w:val="00FF2332"/>
    <w:rsid w:val="00FF33AC"/>
    <w:rsid w:val="00FF3C8E"/>
    <w:rsid w:val="00FF46FB"/>
    <w:rsid w:val="028D5673"/>
    <w:rsid w:val="049C1B9D"/>
    <w:rsid w:val="059A6853"/>
    <w:rsid w:val="05BB01E0"/>
    <w:rsid w:val="079A72B4"/>
    <w:rsid w:val="09125143"/>
    <w:rsid w:val="0A280EDB"/>
    <w:rsid w:val="0A6273E5"/>
    <w:rsid w:val="0B180109"/>
    <w:rsid w:val="0E561A26"/>
    <w:rsid w:val="0FA45C75"/>
    <w:rsid w:val="10F7591A"/>
    <w:rsid w:val="12C47BC2"/>
    <w:rsid w:val="14904B4F"/>
    <w:rsid w:val="14D0139F"/>
    <w:rsid w:val="169E77C3"/>
    <w:rsid w:val="16F65A06"/>
    <w:rsid w:val="188D1AD1"/>
    <w:rsid w:val="18BB3DE3"/>
    <w:rsid w:val="18E82269"/>
    <w:rsid w:val="190C6D9E"/>
    <w:rsid w:val="193F5D90"/>
    <w:rsid w:val="1A3D12D5"/>
    <w:rsid w:val="1AB07CF9"/>
    <w:rsid w:val="1D407957"/>
    <w:rsid w:val="1D7256DA"/>
    <w:rsid w:val="1F957D4E"/>
    <w:rsid w:val="2092257D"/>
    <w:rsid w:val="20C11F9E"/>
    <w:rsid w:val="21891489"/>
    <w:rsid w:val="24161AD9"/>
    <w:rsid w:val="25753388"/>
    <w:rsid w:val="25D24FC7"/>
    <w:rsid w:val="26BE50DC"/>
    <w:rsid w:val="284101C7"/>
    <w:rsid w:val="2AD608BF"/>
    <w:rsid w:val="2C6B1CD2"/>
    <w:rsid w:val="3118172F"/>
    <w:rsid w:val="363D3B45"/>
    <w:rsid w:val="36EC6AFA"/>
    <w:rsid w:val="3833171A"/>
    <w:rsid w:val="39C537CC"/>
    <w:rsid w:val="3B0B4681"/>
    <w:rsid w:val="3C1D66FC"/>
    <w:rsid w:val="3E2508ED"/>
    <w:rsid w:val="3F23468E"/>
    <w:rsid w:val="42003C33"/>
    <w:rsid w:val="428F3B1C"/>
    <w:rsid w:val="44DA064F"/>
    <w:rsid w:val="469678CB"/>
    <w:rsid w:val="472F4652"/>
    <w:rsid w:val="489108BA"/>
    <w:rsid w:val="499A2857"/>
    <w:rsid w:val="49D205FB"/>
    <w:rsid w:val="4ABF35E1"/>
    <w:rsid w:val="4ACD41E2"/>
    <w:rsid w:val="4BDD29B6"/>
    <w:rsid w:val="4C2E3C34"/>
    <w:rsid w:val="4D4E69A3"/>
    <w:rsid w:val="4E6A5F38"/>
    <w:rsid w:val="4FD33DE2"/>
    <w:rsid w:val="52F67C97"/>
    <w:rsid w:val="53E36D11"/>
    <w:rsid w:val="54360DBC"/>
    <w:rsid w:val="568B40E3"/>
    <w:rsid w:val="58183EF6"/>
    <w:rsid w:val="59541B67"/>
    <w:rsid w:val="59822497"/>
    <w:rsid w:val="598A113A"/>
    <w:rsid w:val="59AA3DDB"/>
    <w:rsid w:val="5B5568BB"/>
    <w:rsid w:val="5B564DAB"/>
    <w:rsid w:val="5BBE156E"/>
    <w:rsid w:val="5BC50992"/>
    <w:rsid w:val="5BFF1A71"/>
    <w:rsid w:val="5D2F6ACB"/>
    <w:rsid w:val="5E155C5F"/>
    <w:rsid w:val="611B00ED"/>
    <w:rsid w:val="61243C22"/>
    <w:rsid w:val="63366E5E"/>
    <w:rsid w:val="641E6278"/>
    <w:rsid w:val="65AC543A"/>
    <w:rsid w:val="679D465C"/>
    <w:rsid w:val="67A07D7A"/>
    <w:rsid w:val="67D53581"/>
    <w:rsid w:val="68077DF9"/>
    <w:rsid w:val="68B277F8"/>
    <w:rsid w:val="69FA08E9"/>
    <w:rsid w:val="6AD65E7A"/>
    <w:rsid w:val="6B025472"/>
    <w:rsid w:val="6BFD7559"/>
    <w:rsid w:val="6CF7419C"/>
    <w:rsid w:val="6E56043A"/>
    <w:rsid w:val="6E9677B5"/>
    <w:rsid w:val="70F969E6"/>
    <w:rsid w:val="715D2FA0"/>
    <w:rsid w:val="71DC40A5"/>
    <w:rsid w:val="72750F69"/>
    <w:rsid w:val="72AA5DC0"/>
    <w:rsid w:val="748B769E"/>
    <w:rsid w:val="7715608F"/>
    <w:rsid w:val="78496C6A"/>
    <w:rsid w:val="78993E8E"/>
    <w:rsid w:val="797A6A48"/>
    <w:rsid w:val="7A837AEE"/>
    <w:rsid w:val="7B505574"/>
    <w:rsid w:val="7BC04C16"/>
    <w:rsid w:val="7CE45D9E"/>
    <w:rsid w:val="7FB8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rFonts w:ascii="Calibri" w:hAnsi="Calibri" w:eastAsia="黑体" w:cs="Times New Roman"/>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17">
    <w:name w:val="Default Paragraph Font"/>
    <w:semiHidden/>
    <w:unhideWhenUsed/>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6">
    <w:name w:val="annotation text"/>
    <w:basedOn w:val="1"/>
    <w:autoRedefine/>
    <w:semiHidden/>
    <w:unhideWhenUsed/>
    <w:qFormat/>
    <w:uiPriority w:val="99"/>
    <w:pPr>
      <w:jc w:val="left"/>
    </w:pPr>
  </w:style>
  <w:style w:type="paragraph" w:styleId="7">
    <w:name w:val="toc 3"/>
    <w:basedOn w:val="1"/>
    <w:next w:val="1"/>
    <w:autoRedefine/>
    <w:unhideWhenUsed/>
    <w:qFormat/>
    <w:uiPriority w:val="39"/>
    <w:pPr>
      <w:widowControl/>
      <w:spacing w:after="100" w:line="259" w:lineRule="auto"/>
      <w:ind w:left="440"/>
      <w:jc w:val="left"/>
    </w:pPr>
    <w:rPr>
      <w:rFonts w:ascii="等线" w:hAnsi="等线" w:eastAsia="等线" w:cs="Times New Roman"/>
      <w:kern w:val="0"/>
      <w:sz w:val="22"/>
    </w:rPr>
  </w:style>
  <w:style w:type="paragraph" w:styleId="8">
    <w:name w:val="Date"/>
    <w:basedOn w:val="1"/>
    <w:next w:val="1"/>
    <w:link w:val="21"/>
    <w:autoRedefine/>
    <w:semiHidden/>
    <w:unhideWhenUsed/>
    <w:qFormat/>
    <w:uiPriority w:val="99"/>
    <w:pPr>
      <w:ind w:left="100" w:leftChars="2500"/>
    </w:pPr>
  </w:style>
  <w:style w:type="paragraph" w:styleId="9">
    <w:name w:val="Balloon Text"/>
    <w:basedOn w:val="1"/>
    <w:link w:val="32"/>
    <w:autoRedefine/>
    <w:semiHidden/>
    <w:unhideWhenUsed/>
    <w:qFormat/>
    <w:uiPriority w:val="99"/>
    <w:rPr>
      <w:sz w:val="18"/>
      <w:szCs w:val="18"/>
    </w:rPr>
  </w:style>
  <w:style w:type="paragraph" w:styleId="10">
    <w:name w:val="footer"/>
    <w:basedOn w:val="1"/>
    <w:link w:val="24"/>
    <w:autoRedefine/>
    <w:unhideWhenUsed/>
    <w:qFormat/>
    <w:uiPriority w:val="99"/>
    <w:pPr>
      <w:tabs>
        <w:tab w:val="center" w:pos="4153"/>
        <w:tab w:val="right" w:pos="8306"/>
      </w:tabs>
      <w:snapToGrid w:val="0"/>
      <w:jc w:val="left"/>
    </w:pPr>
    <w:rPr>
      <w:sz w:val="18"/>
      <w:szCs w:val="18"/>
    </w:rPr>
  </w:style>
  <w:style w:type="paragraph" w:styleId="11">
    <w:name w:val="header"/>
    <w:basedOn w:val="1"/>
    <w:link w:val="2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pPr>
      <w:widowControl/>
      <w:spacing w:after="100" w:line="259" w:lineRule="auto"/>
      <w:jc w:val="left"/>
    </w:pPr>
    <w:rPr>
      <w:rFonts w:ascii="等线" w:hAnsi="等线" w:eastAsia="等线" w:cs="Times New Roman"/>
      <w:kern w:val="0"/>
      <w:sz w:val="22"/>
    </w:rPr>
  </w:style>
  <w:style w:type="paragraph" w:styleId="13">
    <w:name w:val="toc 2"/>
    <w:basedOn w:val="1"/>
    <w:next w:val="1"/>
    <w:autoRedefine/>
    <w:unhideWhenUsed/>
    <w:qFormat/>
    <w:uiPriority w:val="39"/>
    <w:pPr>
      <w:widowControl/>
      <w:spacing w:after="100" w:line="259" w:lineRule="auto"/>
      <w:ind w:left="220"/>
      <w:jc w:val="left"/>
    </w:pPr>
    <w:rPr>
      <w:rFonts w:ascii="等线" w:hAnsi="等线" w:eastAsia="等线" w:cs="Times New Roman"/>
      <w:kern w:val="0"/>
      <w:sz w:val="22"/>
    </w:rPr>
  </w:style>
  <w:style w:type="paragraph" w:styleId="14">
    <w:name w:val="Normal (Web)"/>
    <w:basedOn w:val="1"/>
    <w:autoRedefine/>
    <w:qFormat/>
    <w:uiPriority w:val="0"/>
    <w:pPr>
      <w:jc w:val="left"/>
    </w:pPr>
    <w:rPr>
      <w:rFonts w:eastAsia="宋体" w:cs="Times New Roman"/>
      <w:kern w:val="0"/>
      <w:sz w:val="24"/>
      <w:szCs w:val="24"/>
    </w:rPr>
  </w:style>
  <w:style w:type="table" w:styleId="16">
    <w:name w:val="Table Grid"/>
    <w:basedOn w:val="1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FollowedHyperlink"/>
    <w:basedOn w:val="17"/>
    <w:autoRedefine/>
    <w:semiHidden/>
    <w:unhideWhenUsed/>
    <w:qFormat/>
    <w:uiPriority w:val="99"/>
    <w:rPr>
      <w:color w:val="333333"/>
      <w:u w:val="none"/>
    </w:rPr>
  </w:style>
  <w:style w:type="character" w:styleId="19">
    <w:name w:val="Hyperlink"/>
    <w:autoRedefine/>
    <w:unhideWhenUsed/>
    <w:qFormat/>
    <w:uiPriority w:val="99"/>
    <w:rPr>
      <w:color w:val="0563C1"/>
      <w:u w:val="single"/>
    </w:rPr>
  </w:style>
  <w:style w:type="character" w:styleId="20">
    <w:name w:val="annotation reference"/>
    <w:basedOn w:val="17"/>
    <w:autoRedefine/>
    <w:semiHidden/>
    <w:unhideWhenUsed/>
    <w:qFormat/>
    <w:uiPriority w:val="99"/>
    <w:rPr>
      <w:sz w:val="21"/>
      <w:szCs w:val="21"/>
    </w:rPr>
  </w:style>
  <w:style w:type="character" w:customStyle="1" w:styleId="21">
    <w:name w:val="日期 Char"/>
    <w:basedOn w:val="17"/>
    <w:link w:val="8"/>
    <w:autoRedefine/>
    <w:semiHidden/>
    <w:qFormat/>
    <w:uiPriority w:val="99"/>
  </w:style>
  <w:style w:type="paragraph" w:styleId="22">
    <w:name w:val="List Paragraph"/>
    <w:basedOn w:val="1"/>
    <w:autoRedefine/>
    <w:qFormat/>
    <w:uiPriority w:val="99"/>
    <w:pPr>
      <w:ind w:firstLine="420" w:firstLineChars="200"/>
    </w:pPr>
  </w:style>
  <w:style w:type="character" w:customStyle="1" w:styleId="23">
    <w:name w:val="页眉 Char"/>
    <w:basedOn w:val="17"/>
    <w:link w:val="11"/>
    <w:autoRedefine/>
    <w:qFormat/>
    <w:uiPriority w:val="99"/>
    <w:rPr>
      <w:sz w:val="18"/>
      <w:szCs w:val="18"/>
    </w:rPr>
  </w:style>
  <w:style w:type="character" w:customStyle="1" w:styleId="24">
    <w:name w:val="页脚 Char"/>
    <w:basedOn w:val="17"/>
    <w:link w:val="10"/>
    <w:autoRedefine/>
    <w:qFormat/>
    <w:uiPriority w:val="99"/>
    <w:rPr>
      <w:sz w:val="18"/>
      <w:szCs w:val="18"/>
    </w:rPr>
  </w:style>
  <w:style w:type="character" w:customStyle="1" w:styleId="25">
    <w:name w:val="article-icon"/>
    <w:basedOn w:val="17"/>
    <w:autoRedefine/>
    <w:qFormat/>
    <w:uiPriority w:val="0"/>
  </w:style>
  <w:style w:type="character" w:customStyle="1" w:styleId="26">
    <w:name w:val="hover14"/>
    <w:basedOn w:val="17"/>
    <w:autoRedefine/>
    <w:qFormat/>
    <w:uiPriority w:val="0"/>
    <w:rPr>
      <w:shd w:val="clear" w:color="auto" w:fill="929292"/>
    </w:rPr>
  </w:style>
  <w:style w:type="character" w:customStyle="1" w:styleId="27">
    <w:name w:val="hover"/>
    <w:basedOn w:val="17"/>
    <w:autoRedefine/>
    <w:qFormat/>
    <w:uiPriority w:val="0"/>
    <w:rPr>
      <w:shd w:val="clear" w:color="auto" w:fill="929292"/>
    </w:rPr>
  </w:style>
  <w:style w:type="character" w:customStyle="1" w:styleId="28">
    <w:name w:val="hover13"/>
    <w:basedOn w:val="17"/>
    <w:autoRedefine/>
    <w:qFormat/>
    <w:uiPriority w:val="0"/>
    <w:rPr>
      <w:shd w:val="clear" w:color="auto" w:fill="929292"/>
    </w:rPr>
  </w:style>
  <w:style w:type="paragraph" w:customStyle="1" w:styleId="29">
    <w:name w:val="WPSOffice手动目录 1"/>
    <w:autoRedefine/>
    <w:qFormat/>
    <w:uiPriority w:val="0"/>
    <w:rPr>
      <w:rFonts w:ascii="Times New Roman" w:hAnsi="Times New Roman" w:eastAsia="宋体" w:cs="Times New Roman"/>
      <w:lang w:val="en-US" w:eastAsia="zh-CN" w:bidi="ar-SA"/>
    </w:rPr>
  </w:style>
  <w:style w:type="paragraph" w:customStyle="1" w:styleId="30">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31">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32">
    <w:name w:val="批注框文本 Char"/>
    <w:basedOn w:val="17"/>
    <w:link w:val="9"/>
    <w:autoRedefine/>
    <w:semiHidden/>
    <w:qFormat/>
    <w:uiPriority w:val="99"/>
    <w:rPr>
      <w:rFonts w:asciiTheme="minorHAnsi" w:hAnsiTheme="minorHAnsi" w:eastAsiaTheme="minorEastAsia" w:cstheme="minorBidi"/>
      <w:kern w:val="2"/>
      <w:sz w:val="18"/>
      <w:szCs w:val="18"/>
    </w:rPr>
  </w:style>
  <w:style w:type="paragraph" w:customStyle="1" w:styleId="33">
    <w:name w:val="样式1"/>
    <w:basedOn w:val="1"/>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2295</Words>
  <Characters>13084</Characters>
  <Lines>109</Lines>
  <Paragraphs>30</Paragraphs>
  <TotalTime>17</TotalTime>
  <ScaleCrop>false</ScaleCrop>
  <LinksUpToDate>false</LinksUpToDate>
  <CharactersWithSpaces>15349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2023-12-22T03:09:00Z</dcterms:created>
  <dc:creator>Administrator</dc:creator>
  <cp:lastModifiedBy>Mango</cp:lastModifiedBy>
  <dcterms:modified xsi:type="dcterms:W3CDTF">2024-04-22T02:18:50Z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0ED4DE4A9D254C3C80F51D24B0842A79_12</vt:lpwstr>
  </property>
</Properties>
</file>