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p>
    <w:p>
      <w:pPr>
        <w:jc w:val="center"/>
        <w:rPr>
          <w:sz w:val="44"/>
          <w:szCs w:val="44"/>
        </w:rPr>
      </w:pPr>
    </w:p>
    <w:p>
      <w:pPr>
        <w:jc w:val="center"/>
        <w:rPr>
          <w:sz w:val="44"/>
          <w:szCs w:val="44"/>
        </w:rPr>
      </w:pPr>
    </w:p>
    <w:p>
      <w:pPr>
        <w:jc w:val="both"/>
        <w:rPr>
          <w:sz w:val="44"/>
          <w:szCs w:val="44"/>
        </w:rPr>
      </w:pPr>
    </w:p>
    <w:p>
      <w:pPr>
        <w:bidi w:val="0"/>
        <w:jc w:val="center"/>
        <w:rPr>
          <w:rFonts w:hint="eastAsia" w:ascii="宋体" w:hAnsi="宋体" w:eastAsia="宋体" w:cs="宋体"/>
          <w:b/>
          <w:bCs/>
          <w:sz w:val="44"/>
          <w:szCs w:val="44"/>
        </w:rPr>
      </w:pPr>
      <w:bookmarkStart w:id="0" w:name="_Toc23207"/>
      <w:bookmarkStart w:id="1" w:name="_Toc21651"/>
      <w:bookmarkStart w:id="2" w:name="_Toc29321"/>
      <w:r>
        <w:rPr>
          <w:rFonts w:hint="eastAsia" w:ascii="宋体" w:hAnsi="宋体" w:eastAsia="宋体" w:cs="宋体"/>
          <w:b/>
          <w:bCs/>
          <w:sz w:val="44"/>
          <w:szCs w:val="44"/>
        </w:rPr>
        <w:t>赣州蓉江新区疾病预防控制中心</w:t>
      </w:r>
    </w:p>
    <w:p>
      <w:pPr>
        <w:bidi w:val="0"/>
        <w:jc w:val="center"/>
        <w:rPr>
          <w:rFonts w:hint="eastAsia" w:ascii="宋体" w:hAnsi="宋体" w:eastAsia="宋体" w:cs="宋体"/>
          <w:b/>
          <w:bCs/>
          <w:sz w:val="44"/>
          <w:szCs w:val="44"/>
        </w:rPr>
      </w:pPr>
      <w:r>
        <w:rPr>
          <w:rFonts w:hint="eastAsia" w:ascii="宋体" w:hAnsi="宋体" w:eastAsia="宋体" w:cs="宋体"/>
          <w:b/>
          <w:bCs/>
          <w:sz w:val="44"/>
          <w:szCs w:val="44"/>
        </w:rPr>
        <w:t>2022年度部门整体支出绩效评价报告</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cs="仿宋_GB2312" w:asciiTheme="majorEastAsia" w:hAnsiTheme="majorEastAsia" w:eastAsiaTheme="majorEastAsia"/>
          <w:color w:val="auto"/>
          <w:sz w:val="28"/>
          <w:szCs w:val="28"/>
          <w:highlight w:val="yellow"/>
          <w:u w:val="none"/>
        </w:rPr>
      </w:pPr>
      <w:r>
        <w:rPr>
          <w:rFonts w:hint="eastAsia" w:cs="仿宋" w:asciiTheme="majorEastAsia" w:hAnsiTheme="majorEastAsia" w:eastAsiaTheme="majorEastAsia"/>
          <w:sz w:val="28"/>
          <w:szCs w:val="28"/>
          <w:u w:val="none"/>
        </w:rPr>
        <w:t>国众联咨报字﹝</w:t>
      </w:r>
      <w:r>
        <w:rPr>
          <w:rFonts w:hint="eastAsia" w:cs="仿宋" w:asciiTheme="majorEastAsia" w:hAnsiTheme="majorEastAsia" w:eastAsiaTheme="majorEastAsia"/>
          <w:sz w:val="28"/>
          <w:szCs w:val="28"/>
          <w:u w:val="none"/>
          <w:lang w:val="en-US" w:eastAsia="zh-CN"/>
        </w:rPr>
        <w:t>2024</w:t>
      </w:r>
      <w:r>
        <w:rPr>
          <w:rFonts w:hint="eastAsia" w:cs="仿宋" w:asciiTheme="majorEastAsia" w:hAnsiTheme="majorEastAsia" w:eastAsiaTheme="majorEastAsia"/>
          <w:sz w:val="28"/>
          <w:szCs w:val="28"/>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0019</w:t>
      </w:r>
      <w:r>
        <w:rPr>
          <w:rFonts w:hint="eastAsia" w:cs="仿宋" w:asciiTheme="majorEastAsia" w:hAnsiTheme="majorEastAsia" w:eastAsiaTheme="majorEastAsia"/>
          <w:sz w:val="28"/>
          <w:szCs w:val="28"/>
          <w:u w:val="none"/>
        </w:rPr>
        <w:t>号</w:t>
      </w:r>
    </w:p>
    <w:p/>
    <w:p/>
    <w:p/>
    <w:p/>
    <w:p/>
    <w:p/>
    <w:p/>
    <w:p/>
    <w:p/>
    <w:p>
      <w:pPr>
        <w:pStyle w:val="18"/>
      </w:pPr>
    </w:p>
    <w:p/>
    <w:p>
      <w:pPr>
        <w:pStyle w:val="2"/>
      </w:pPr>
    </w:p>
    <w:p>
      <w:pPr>
        <w:rPr>
          <w:rFonts w:ascii="仿宋" w:hAnsi="仿宋" w:eastAsia="仿宋"/>
          <w:sz w:val="32"/>
          <w:szCs w:val="32"/>
        </w:rPr>
      </w:pPr>
      <w:r>
        <w:rPr>
          <w:rFonts w:hint="eastAsia" w:ascii="仿宋" w:hAnsi="仿宋" w:eastAsia="仿宋"/>
          <w:sz w:val="32"/>
          <w:szCs w:val="32"/>
        </w:rPr>
        <w:t>项目名称：赣州蓉江新区疾病预防控制中心2022年度</w:t>
      </w:r>
      <w:r>
        <w:rPr>
          <w:rFonts w:hint="eastAsia" w:ascii="仿宋" w:hAnsi="仿宋" w:eastAsia="仿宋"/>
          <w:sz w:val="32"/>
          <w:szCs w:val="32"/>
          <w:lang w:val="en-US" w:eastAsia="zh-CN"/>
        </w:rPr>
        <w:t>部门</w:t>
      </w:r>
      <w:r>
        <w:rPr>
          <w:rFonts w:hint="eastAsia" w:ascii="仿宋" w:hAnsi="仿宋" w:eastAsia="仿宋"/>
          <w:sz w:val="32"/>
          <w:szCs w:val="32"/>
        </w:rPr>
        <w:t>整体支出</w:t>
      </w:r>
    </w:p>
    <w:p>
      <w:pPr>
        <w:rPr>
          <w:rFonts w:ascii="仿宋" w:hAnsi="仿宋" w:eastAsia="仿宋"/>
          <w:sz w:val="32"/>
          <w:szCs w:val="32"/>
        </w:rPr>
      </w:pPr>
      <w:r>
        <w:rPr>
          <w:rFonts w:hint="eastAsia" w:ascii="仿宋" w:hAnsi="仿宋" w:eastAsia="仿宋"/>
          <w:sz w:val="32"/>
          <w:szCs w:val="32"/>
        </w:rPr>
        <w:t>项目单位：赣州蓉江新区疾病预防控制中心</w:t>
      </w:r>
    </w:p>
    <w:p>
      <w:pPr>
        <w:rPr>
          <w:rFonts w:ascii="仿宋" w:hAnsi="仿宋" w:eastAsia="仿宋"/>
          <w:sz w:val="32"/>
          <w:szCs w:val="32"/>
        </w:rPr>
      </w:pPr>
      <w:r>
        <w:rPr>
          <w:rFonts w:hint="eastAsia" w:ascii="仿宋" w:hAnsi="仿宋" w:eastAsia="仿宋"/>
          <w:sz w:val="32"/>
          <w:szCs w:val="32"/>
        </w:rPr>
        <w:t>委托单位：赣州蓉江新区财政局</w:t>
      </w:r>
    </w:p>
    <w:p>
      <w:pPr>
        <w:rPr>
          <w:rFonts w:ascii="仿宋" w:hAnsi="仿宋" w:eastAsia="仿宋"/>
          <w:sz w:val="32"/>
          <w:szCs w:val="32"/>
        </w:rPr>
      </w:pPr>
      <w:r>
        <w:rPr>
          <w:rFonts w:hint="eastAsia" w:ascii="仿宋" w:hAnsi="仿宋" w:eastAsia="仿宋"/>
          <w:sz w:val="32"/>
          <w:szCs w:val="32"/>
        </w:rPr>
        <w:t>评价机构：国众联资产评估土地房地产估价有限公司</w:t>
      </w:r>
    </w:p>
    <w:p>
      <w:pPr>
        <w:rPr>
          <w:rFonts w:ascii="仿宋" w:hAnsi="仿宋" w:eastAsia="仿宋"/>
          <w:sz w:val="32"/>
          <w:szCs w:val="32"/>
        </w:rPr>
        <w:sectPr>
          <w:headerReference r:id="rId4" w:type="first"/>
          <w:headerReference r:id="rId3" w:type="default"/>
          <w:pgSz w:w="11906" w:h="16838"/>
          <w:pgMar w:top="1440" w:right="1800" w:bottom="1440" w:left="1800" w:header="851" w:footer="992" w:gutter="0"/>
          <w:pgNumType w:fmt="decimal"/>
          <w:cols w:space="425" w:num="1"/>
          <w:titlePg/>
          <w:docGrid w:type="lines" w:linePitch="312" w:charSpace="0"/>
        </w:sectPr>
      </w:pPr>
      <w:r>
        <w:rPr>
          <w:rFonts w:hint="eastAsia" w:ascii="仿宋" w:hAnsi="仿宋" w:eastAsia="仿宋"/>
          <w:sz w:val="32"/>
          <w:szCs w:val="32"/>
        </w:rPr>
        <w:t>报告日期：二</w:t>
      </w:r>
      <w:r>
        <w:rPr>
          <w:rFonts w:hint="eastAsia" w:ascii="仿宋" w:hAnsi="仿宋" w:eastAsia="仿宋"/>
          <w:sz w:val="32"/>
          <w:szCs w:val="32"/>
          <w:lang w:val="en-US" w:eastAsia="zh-CN"/>
        </w:rPr>
        <w:t>零</w:t>
      </w:r>
      <w:r>
        <w:rPr>
          <w:rFonts w:hint="eastAsia" w:ascii="仿宋" w:hAnsi="仿宋" w:eastAsia="仿宋"/>
          <w:sz w:val="32"/>
          <w:szCs w:val="32"/>
        </w:rPr>
        <w:t>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bidi w:val="0"/>
        <w:jc w:val="center"/>
        <w:rPr>
          <w:rFonts w:hint="eastAsia" w:ascii="宋体" w:hAnsi="宋体" w:eastAsia="宋体" w:cs="宋体"/>
          <w:b/>
          <w:bCs/>
          <w:sz w:val="44"/>
          <w:szCs w:val="44"/>
        </w:rPr>
      </w:pPr>
      <w:r>
        <w:rPr>
          <w:rFonts w:hint="eastAsia" w:ascii="宋体" w:hAnsi="宋体" w:eastAsia="宋体" w:cs="宋体"/>
          <w:b/>
          <w:bCs/>
          <w:sz w:val="44"/>
          <w:szCs w:val="44"/>
        </w:rPr>
        <w:t>摘  要</w:t>
      </w:r>
    </w:p>
    <w:p>
      <w:pPr>
        <w:bidi w:val="0"/>
      </w:pPr>
      <w:bookmarkStart w:id="3" w:name="_Toc9221"/>
      <w:bookmarkStart w:id="4" w:name="_Toc24995"/>
      <w:bookmarkStart w:id="5" w:name="_Toc20683"/>
    </w:p>
    <w:p>
      <w:pPr>
        <w:bidi w:val="0"/>
        <w:rPr>
          <w:rFonts w:hint="eastAsia" w:ascii="仿宋" w:hAnsi="仿宋" w:eastAsia="仿宋" w:cs="仿宋"/>
          <w:b/>
          <w:bCs/>
          <w:sz w:val="32"/>
          <w:szCs w:val="32"/>
        </w:rPr>
      </w:pPr>
      <w:r>
        <w:rPr>
          <w:rFonts w:hint="eastAsia" w:ascii="仿宋" w:hAnsi="仿宋" w:eastAsia="仿宋" w:cs="仿宋"/>
          <w:b/>
          <w:bCs/>
          <w:sz w:val="32"/>
          <w:szCs w:val="32"/>
        </w:rPr>
        <w:t>一、部门整体支出概况</w:t>
      </w:r>
      <w:bookmarkEnd w:id="3"/>
      <w:bookmarkEnd w:id="4"/>
      <w:bookmarkEnd w:id="5"/>
    </w:p>
    <w:p>
      <w:pPr>
        <w:spacing w:line="540" w:lineRule="exact"/>
        <w:ind w:firstLine="640" w:firstLineChars="200"/>
        <w:jc w:val="left"/>
        <w:rPr>
          <w:rFonts w:ascii="仿宋" w:hAnsi="仿宋" w:eastAsia="仿宋"/>
          <w:sz w:val="32"/>
          <w:szCs w:val="32"/>
        </w:rPr>
      </w:pPr>
      <w:r>
        <w:rPr>
          <w:rFonts w:hint="eastAsia" w:ascii="仿宋" w:hAnsi="仿宋" w:eastAsia="仿宋"/>
          <w:sz w:val="32"/>
          <w:szCs w:val="32"/>
        </w:rPr>
        <w:t>年度单位预算情况—2022年年初预算收入总计867.42万元，全部为一般公共预算拨款收入。年初预算支出867.42万元，其中：基本支出309.03万元，项目支出558.39万元。</w:t>
      </w:r>
    </w:p>
    <w:p>
      <w:pPr>
        <w:spacing w:line="540" w:lineRule="exact"/>
        <w:ind w:firstLine="616" w:firstLineChars="200"/>
        <w:jc w:val="left"/>
        <w:rPr>
          <w:rFonts w:ascii="仿宋" w:hAnsi="仿宋" w:eastAsia="仿宋"/>
          <w:sz w:val="32"/>
          <w:szCs w:val="32"/>
        </w:rPr>
      </w:pPr>
      <w:r>
        <w:rPr>
          <w:rFonts w:hint="eastAsia" w:ascii="仿宋" w:hAnsi="仿宋" w:eastAsia="仿宋"/>
          <w:spacing w:val="-6"/>
          <w:sz w:val="32"/>
          <w:szCs w:val="32"/>
        </w:rPr>
        <w:t>年度单位预算执行情况—2022年度决算收入总额</w:t>
      </w:r>
      <w:r>
        <w:rPr>
          <w:rFonts w:hint="eastAsia" w:ascii="仿宋" w:hAnsi="仿宋" w:eastAsia="仿宋"/>
          <w:sz w:val="32"/>
          <w:szCs w:val="32"/>
        </w:rPr>
        <w:t>782.54万元，其中：本年一般公共预算财政拨款收入782.54万元。</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sz w:val="32"/>
          <w:szCs w:val="32"/>
        </w:rPr>
        <w:t>2022年度决算支出782.54万元，其中：</w:t>
      </w:r>
      <w:r>
        <w:rPr>
          <w:rFonts w:ascii="仿宋" w:hAnsi="仿宋" w:eastAsia="仿宋"/>
          <w:sz w:val="32"/>
          <w:szCs w:val="32"/>
        </w:rPr>
        <w:fldChar w:fldCharType="begin"/>
      </w:r>
      <w:r>
        <w:rPr>
          <w:rFonts w:hint="eastAsia" w:ascii="仿宋" w:hAnsi="仿宋" w:eastAsia="仿宋"/>
          <w:sz w:val="32"/>
          <w:szCs w:val="32"/>
        </w:rPr>
        <w:instrText xml:space="preserve">= 1 \* GB3</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按支出性质分类：基本支出306.45万元，项目支出476.09万元；</w:t>
      </w:r>
      <w:r>
        <w:rPr>
          <w:rFonts w:ascii="仿宋" w:hAnsi="仿宋" w:eastAsia="仿宋"/>
          <w:sz w:val="32"/>
          <w:szCs w:val="32"/>
        </w:rPr>
        <w:fldChar w:fldCharType="begin"/>
      </w:r>
      <w:r>
        <w:rPr>
          <w:rFonts w:hint="eastAsia" w:ascii="仿宋" w:hAnsi="仿宋" w:eastAsia="仿宋"/>
          <w:sz w:val="32"/>
          <w:szCs w:val="32"/>
        </w:rPr>
        <w:instrText xml:space="preserve">= 2 \* GB3</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基本支出按经济分类：工资福利支出293.99万元、商品和服务支出12.47万元。</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sz w:val="32"/>
          <w:szCs w:val="32"/>
        </w:rPr>
        <w:t>基本支出中人员经费支出293.99万元，占基本支出的95.93%，日常公用经费支出12.47万元，占基本支出的4.07%。</w:t>
      </w:r>
    </w:p>
    <w:p>
      <w:pPr>
        <w:bidi w:val="0"/>
        <w:rPr>
          <w:rFonts w:hint="eastAsia"/>
        </w:rPr>
      </w:pPr>
      <w:bookmarkStart w:id="6" w:name="_Toc10743"/>
      <w:bookmarkStart w:id="7" w:name="_Toc11451"/>
      <w:bookmarkStart w:id="8" w:name="_Toc22792"/>
    </w:p>
    <w:p>
      <w:pPr>
        <w:bidi w:val="0"/>
        <w:rPr>
          <w:rFonts w:hint="eastAsia" w:ascii="仿宋" w:hAnsi="仿宋" w:eastAsia="仿宋" w:cs="仿宋"/>
          <w:b/>
          <w:bCs/>
          <w:sz w:val="32"/>
          <w:szCs w:val="32"/>
        </w:rPr>
      </w:pPr>
      <w:r>
        <w:rPr>
          <w:rFonts w:hint="eastAsia" w:ascii="仿宋" w:hAnsi="仿宋" w:eastAsia="仿宋" w:cs="仿宋"/>
          <w:b/>
          <w:bCs/>
          <w:sz w:val="32"/>
          <w:szCs w:val="32"/>
        </w:rPr>
        <w:t>二、评价结论和绩效分析</w:t>
      </w:r>
      <w:bookmarkEnd w:id="6"/>
      <w:bookmarkEnd w:id="7"/>
      <w:bookmarkEnd w:id="8"/>
    </w:p>
    <w:p>
      <w:pPr>
        <w:pStyle w:val="2"/>
        <w:spacing w:line="540" w:lineRule="exact"/>
        <w:ind w:firstLine="640"/>
        <w:rPr>
          <w:rFonts w:hint="eastAsia" w:ascii="仿宋" w:hAnsi="仿宋" w:eastAsia="仿宋" w:cs="仿宋"/>
          <w:sz w:val="32"/>
          <w:szCs w:val="32"/>
        </w:rPr>
      </w:pPr>
      <w:r>
        <w:rPr>
          <w:rFonts w:hint="eastAsia" w:ascii="仿宋" w:hAnsi="仿宋" w:eastAsia="仿宋" w:cs="仿宋"/>
          <w:sz w:val="32"/>
          <w:szCs w:val="32"/>
        </w:rPr>
        <w:t>本次评价在资料查阅、现场调研及访谈基础上，对赣州蓉江新区疾病预防控制中心2022年度部门整体支出绩效进行逐项打分、客观评价，等级设为四档：90（含）-100分为优、80（含）-90分为良、60（含）-80分为中等、60分以下为差。最终评分结果：总得分为 92.5分，绩效评级为“优”。</w:t>
      </w:r>
    </w:p>
    <w:p/>
    <w:p>
      <w:pPr>
        <w:spacing w:line="54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3"/>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371"/>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指标</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A.投入指标</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B.过程指标</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C.产出指标</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D.效果指标</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权重</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25</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28</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分值</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13</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21</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26.5</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得分率</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86.67%</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84%</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94.64%</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92.5%</w:t>
            </w:r>
          </w:p>
        </w:tc>
      </w:tr>
    </w:tbl>
    <w:p>
      <w:pPr>
        <w:bidi w:val="0"/>
        <w:rPr>
          <w:rFonts w:hint="eastAsia"/>
        </w:rPr>
      </w:pPr>
      <w:bookmarkStart w:id="9" w:name="_Toc17059"/>
      <w:bookmarkStart w:id="10" w:name="_Toc10616"/>
      <w:bookmarkStart w:id="11" w:name="_Toc7356"/>
    </w:p>
    <w:p>
      <w:pPr>
        <w:bidi w:val="0"/>
        <w:rPr>
          <w:rFonts w:hint="eastAsia" w:ascii="仿宋" w:hAnsi="仿宋" w:eastAsia="仿宋" w:cs="仿宋"/>
          <w:b/>
          <w:bCs/>
          <w:sz w:val="32"/>
          <w:szCs w:val="32"/>
        </w:rPr>
      </w:pPr>
      <w:r>
        <w:rPr>
          <w:rFonts w:hint="eastAsia" w:ascii="仿宋" w:hAnsi="仿宋" w:eastAsia="仿宋" w:cs="仿宋"/>
          <w:b/>
          <w:bCs/>
          <w:sz w:val="32"/>
          <w:szCs w:val="32"/>
        </w:rPr>
        <w:t>三、存在的问题和建议</w:t>
      </w:r>
      <w:bookmarkEnd w:id="9"/>
      <w:bookmarkEnd w:id="10"/>
      <w:bookmarkEnd w:id="11"/>
    </w:p>
    <w:p>
      <w:pPr>
        <w:bidi w:val="0"/>
        <w:ind w:firstLine="320" w:firstLineChars="100"/>
        <w:rPr>
          <w:rFonts w:hint="eastAsia" w:ascii="仿宋" w:hAnsi="仿宋" w:eastAsia="仿宋" w:cs="仿宋"/>
          <w:sz w:val="32"/>
          <w:szCs w:val="32"/>
        </w:rPr>
      </w:pPr>
      <w:bookmarkStart w:id="12" w:name="_Toc10845"/>
      <w:bookmarkStart w:id="13" w:name="_Toc175"/>
      <w:r>
        <w:rPr>
          <w:rFonts w:hint="eastAsia" w:ascii="仿宋" w:hAnsi="仿宋" w:eastAsia="仿宋" w:cs="仿宋"/>
          <w:sz w:val="32"/>
          <w:szCs w:val="32"/>
        </w:rPr>
        <w:t>（一）存在的问题</w:t>
      </w:r>
      <w:bookmarkEnd w:id="12"/>
      <w:bookmarkEnd w:id="13"/>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预算绩效管理工作方面存在不足。绩效目标管理工作有待改善，存在绩效指标设立明确性、量化、科学合理性不足的情形；绩效监控管理工作有待改善，存在预算执行过程中监督不够细致的情形；绩效评价管理工作有待改善，存在评价依据不足的情形。</w:t>
      </w:r>
    </w:p>
    <w:p>
      <w:pPr>
        <w:pStyle w:val="2"/>
        <w:spacing w:line="540" w:lineRule="exact"/>
        <w:ind w:firstLine="640"/>
        <w:rPr>
          <w:rFonts w:ascii="仿宋" w:hAnsi="仿宋" w:eastAsia="仿宋"/>
          <w:sz w:val="32"/>
          <w:szCs w:val="32"/>
        </w:rPr>
      </w:pPr>
      <w:r>
        <w:rPr>
          <w:rFonts w:hint="eastAsia" w:ascii="仿宋" w:hAnsi="仿宋" w:eastAsia="仿宋" w:cs="仿宋"/>
          <w:sz w:val="32"/>
          <w:szCs w:val="32"/>
        </w:rPr>
        <w:t>2、管理制度体系有待完善、制度执行有待加强。蓉江新区疾控中心提供了部门财务管理制度，制度涵盖了资金管理、收入管理、支出管理和资产管理等各个方面，制度的细化程度略显不足；在资产管理方面，未切实执行如定期资产盘点等保障资产安全性、提高资产使用效率的相关制度。</w:t>
      </w:r>
    </w:p>
    <w:p>
      <w:pPr>
        <w:bidi w:val="0"/>
        <w:ind w:firstLine="320" w:firstLineChars="100"/>
        <w:rPr>
          <w:rFonts w:hint="eastAsia" w:ascii="仿宋" w:hAnsi="仿宋" w:eastAsia="仿宋" w:cs="仿宋"/>
          <w:sz w:val="32"/>
          <w:szCs w:val="32"/>
        </w:rPr>
      </w:pPr>
      <w:bookmarkStart w:id="14" w:name="_Toc7339"/>
      <w:bookmarkStart w:id="15" w:name="_Toc13344"/>
      <w:r>
        <w:rPr>
          <w:rFonts w:hint="eastAsia" w:ascii="仿宋" w:hAnsi="仿宋" w:eastAsia="仿宋" w:cs="仿宋"/>
          <w:sz w:val="32"/>
          <w:szCs w:val="32"/>
        </w:rPr>
        <w:t>（二）改进措施和建议</w:t>
      </w:r>
      <w:bookmarkEnd w:id="14"/>
      <w:bookmarkEnd w:id="15"/>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1、逐步建立和完善预算绩效管理体系。在已建立预算绩效管理制度体系的基础上，根据部门职能和实际情况，逐步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widowControl/>
        <w:spacing w:line="540" w:lineRule="exact"/>
        <w:ind w:firstLine="640" w:firstLineChars="200"/>
        <w:jc w:val="left"/>
        <w:rPr>
          <w:b/>
          <w:sz w:val="30"/>
          <w:szCs w:val="30"/>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sz w:val="32"/>
          <w:szCs w:val="32"/>
        </w:rPr>
        <w:t>2、加强制度管理体系建设及制度的落实。在充分结合部门实际情况的基础上，进一步完善相关管理制度，如：建立健全专门的预算资金管理办法、预算绩效管理办法，完善组织机构、明确人员分工，做到责任到人；并抓好制度的落实，加强对相关制度执行的监督管理。</w:t>
      </w:r>
    </w:p>
    <w:p>
      <w:pPr>
        <w:pStyle w:val="2"/>
        <w:ind w:firstLine="0" w:firstLineChars="0"/>
      </w:pPr>
    </w:p>
    <w:sdt>
      <w:sdtPr>
        <w:rPr>
          <w:rFonts w:ascii="宋体" w:hAnsi="宋体" w:eastAsia="宋体"/>
        </w:rPr>
        <w:id w:val="147471102"/>
        <w:docPartObj>
          <w:docPartGallery w:val="Table of Contents"/>
          <w:docPartUnique/>
        </w:docPartObj>
      </w:sdtPr>
      <w:sdtEndPr>
        <w:rPr>
          <w:rFonts w:ascii="宋体" w:hAnsi="宋体" w:eastAsia="宋体"/>
        </w:rPr>
      </w:sdtEndPr>
      <w:sdtContent>
        <w:p>
          <w:pPr>
            <w:spacing w:line="400" w:lineRule="exact"/>
            <w:jc w:val="center"/>
            <w:rPr>
              <w:rFonts w:hint="eastAsia" w:ascii="仿宋" w:hAnsi="仿宋" w:eastAsia="仿宋" w:cs="仿宋"/>
              <w:b/>
              <w:bCs/>
              <w:sz w:val="28"/>
              <w:szCs w:val="28"/>
            </w:rPr>
          </w:pPr>
          <w:r>
            <w:rPr>
              <w:rFonts w:hint="eastAsia" w:ascii="仿宋" w:hAnsi="仿宋" w:eastAsia="仿宋" w:cs="仿宋"/>
              <w:b/>
              <w:bCs/>
              <w:sz w:val="44"/>
              <w:szCs w:val="44"/>
            </w:rPr>
            <w:t>目  录</w:t>
          </w:r>
        </w:p>
        <w:p>
          <w:pPr>
            <w:spacing w:line="400" w:lineRule="exact"/>
            <w:jc w:val="center"/>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TOC \o "1-3" \h \u </w:instrText>
          </w:r>
          <w:r>
            <w:rPr>
              <w:rFonts w:ascii="仿宋" w:hAnsi="仿宋" w:eastAsia="仿宋"/>
              <w:sz w:val="28"/>
              <w:szCs w:val="28"/>
            </w:rPr>
            <w:fldChar w:fldCharType="separate"/>
          </w:r>
        </w:p>
        <w:p>
          <w:pPr>
            <w:pStyle w:val="9"/>
            <w:tabs>
              <w:tab w:val="right" w:pos="4800"/>
              <w:tab w:val="right" w:leader="dot" w:pos="8306"/>
            </w:tabs>
            <w:spacing w:line="400" w:lineRule="exact"/>
            <w:rPr>
              <w:rFonts w:ascii="仿宋" w:hAnsi="仿宋" w:eastAsia="仿宋" w:cs="仿宋"/>
              <w:sz w:val="28"/>
              <w:szCs w:val="28"/>
            </w:rPr>
          </w:pPr>
          <w:r>
            <w:fldChar w:fldCharType="begin"/>
          </w:r>
          <w:r>
            <w:instrText xml:space="preserve"> HYPERLINK \l "_Toc4315" </w:instrText>
          </w:r>
          <w:r>
            <w:fldChar w:fldCharType="separate"/>
          </w:r>
          <w:r>
            <w:rPr>
              <w:rFonts w:hint="eastAsia"/>
              <w:lang w:val="en-US" w:eastAsia="zh-CN"/>
            </w:rPr>
            <w:t>一</w:t>
          </w:r>
          <w:r>
            <w:rPr>
              <w:rFonts w:hint="eastAsia" w:ascii="仿宋" w:hAnsi="仿宋" w:eastAsia="仿宋" w:cs="仿宋"/>
              <w:sz w:val="28"/>
              <w:szCs w:val="28"/>
            </w:rPr>
            <w:t>、部门及整体支出概况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_Toc4315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pos="8000"/>
              <w:tab w:val="right" w:leader="dot" w:pos="8306"/>
            </w:tabs>
            <w:spacing w:line="400" w:lineRule="exact"/>
            <w:ind w:left="221"/>
            <w:rPr>
              <w:rFonts w:ascii="仿宋" w:hAnsi="仿宋" w:eastAsia="仿宋" w:cs="仿宋"/>
              <w:sz w:val="28"/>
              <w:szCs w:val="28"/>
            </w:rPr>
          </w:pPr>
          <w:r>
            <w:fldChar w:fldCharType="begin"/>
          </w:r>
          <w:r>
            <w:instrText xml:space="preserve"> HYPERLINK \l "_Toc29758" </w:instrText>
          </w:r>
          <w:r>
            <w:fldChar w:fldCharType="separate"/>
          </w:r>
          <w:r>
            <w:rPr>
              <w:rFonts w:hint="eastAsia" w:ascii="仿宋" w:hAnsi="仿宋" w:eastAsia="仿宋" w:cs="仿宋"/>
              <w:sz w:val="28"/>
              <w:szCs w:val="28"/>
            </w:rPr>
            <w:t>1.1组织架构及人员、主要职责职能、资产等基本情况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_Toc29758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pos="5200"/>
              <w:tab w:val="right" w:leader="dot" w:pos="8306"/>
            </w:tabs>
            <w:spacing w:line="400" w:lineRule="exact"/>
            <w:rPr>
              <w:rFonts w:ascii="仿宋" w:hAnsi="仿宋" w:eastAsia="仿宋" w:cs="仿宋"/>
              <w:sz w:val="28"/>
              <w:szCs w:val="28"/>
            </w:rPr>
          </w:pPr>
          <w:r>
            <w:fldChar w:fldCharType="begin"/>
          </w:r>
          <w:r>
            <w:instrText xml:space="preserve"> HYPERLINK \l "_Toc27361" </w:instrText>
          </w:r>
          <w:r>
            <w:fldChar w:fldCharType="separate"/>
          </w:r>
          <w:r>
            <w:rPr>
              <w:rFonts w:hint="eastAsia" w:ascii="仿宋" w:hAnsi="仿宋" w:eastAsia="仿宋" w:cs="仿宋"/>
              <w:sz w:val="28"/>
              <w:szCs w:val="28"/>
            </w:rPr>
            <w:t>1.2 工作任务及绩效目标</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_Toc27361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"_Toc46" </w:instrText>
          </w:r>
          <w:r>
            <w:fldChar w:fldCharType="separate"/>
          </w:r>
          <w:r>
            <w:rPr>
              <w:rFonts w:hint="eastAsia" w:ascii="仿宋" w:hAnsi="仿宋" w:eastAsia="仿宋" w:cs="仿宋"/>
              <w:sz w:val="28"/>
              <w:szCs w:val="28"/>
            </w:rPr>
            <w:t>1.3预算及执行情况</w:t>
          </w:r>
          <w:r>
            <w:rPr>
              <w:rFonts w:hint="eastAsia" w:ascii="仿宋" w:hAnsi="仿宋" w:eastAsia="仿宋" w:cs="仿宋"/>
              <w:sz w:val="28"/>
              <w:szCs w:val="28"/>
            </w:rPr>
            <w:tab/>
          </w:r>
          <w:r>
            <w:rPr>
              <w:rFonts w:hint="eastAsia" w:ascii="仿宋" w:hAnsi="仿宋" w:eastAsia="仿宋" w:cs="仿宋"/>
              <w:sz w:val="28"/>
              <w:szCs w:val="28"/>
            </w:rPr>
            <w:t>3</w:t>
          </w:r>
          <w:r>
            <w:rPr>
              <w:rFonts w:hint="eastAsia" w:ascii="仿宋" w:hAnsi="仿宋" w:eastAsia="仿宋" w:cs="仿宋"/>
              <w:sz w:val="28"/>
              <w:szCs w:val="28"/>
            </w:rPr>
            <w:fldChar w:fldCharType="end"/>
          </w:r>
        </w:p>
        <w:p>
          <w:pPr>
            <w:pStyle w:val="10"/>
            <w:tabs>
              <w:tab w:val="right" w:pos="4400"/>
              <w:tab w:val="right" w:leader="dot" w:pos="8306"/>
            </w:tabs>
            <w:spacing w:line="400" w:lineRule="exact"/>
            <w:rPr>
              <w:rFonts w:ascii="仿宋" w:hAnsi="仿宋" w:eastAsia="仿宋" w:cs="仿宋"/>
              <w:sz w:val="28"/>
              <w:szCs w:val="28"/>
            </w:rPr>
          </w:pPr>
          <w:r>
            <w:fldChar w:fldCharType="begin"/>
          </w:r>
          <w:r>
            <w:instrText xml:space="preserve"> HYPERLINK \l "_Toc18924" </w:instrText>
          </w:r>
          <w:r>
            <w:fldChar w:fldCharType="separate"/>
          </w:r>
          <w:r>
            <w:rPr>
              <w:rFonts w:hint="eastAsia" w:ascii="仿宋" w:hAnsi="仿宋" w:eastAsia="仿宋" w:cs="仿宋"/>
              <w:sz w:val="28"/>
              <w:szCs w:val="28"/>
            </w:rPr>
            <w:t>1.4 履职完成情况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4</w:t>
          </w:r>
          <w:r>
            <w:rPr>
              <w:rFonts w:hint="eastAsia" w:ascii="仿宋" w:hAnsi="仿宋" w:eastAsia="仿宋" w:cs="仿宋"/>
              <w:sz w:val="28"/>
              <w:szCs w:val="28"/>
            </w:rPr>
            <w:fldChar w:fldCharType="end"/>
          </w:r>
        </w:p>
        <w:p>
          <w:pPr>
            <w:pStyle w:val="9"/>
            <w:tabs>
              <w:tab w:val="right" w:pos="4400"/>
              <w:tab w:val="right" w:leader="dot" w:pos="8306"/>
            </w:tabs>
            <w:spacing w:line="400" w:lineRule="exact"/>
            <w:rPr>
              <w:rFonts w:ascii="仿宋" w:hAnsi="仿宋" w:eastAsia="仿宋" w:cs="仿宋"/>
              <w:sz w:val="28"/>
              <w:szCs w:val="28"/>
            </w:rPr>
          </w:pPr>
          <w:r>
            <w:fldChar w:fldCharType="begin"/>
          </w:r>
          <w:r>
            <w:instrText xml:space="preserve"> HYPERLINK \l "_Toc7841" </w:instrText>
          </w:r>
          <w:r>
            <w:fldChar w:fldCharType="separate"/>
          </w:r>
          <w:r>
            <w:rPr>
              <w:rFonts w:hint="eastAsia"/>
              <w:lang w:val="en-US" w:eastAsia="zh-CN"/>
            </w:rPr>
            <w:t>二</w:t>
          </w:r>
          <w:r>
            <w:rPr>
              <w:rFonts w:hint="eastAsia" w:ascii="仿宋" w:hAnsi="仿宋" w:eastAsia="仿宋" w:cs="仿宋"/>
              <w:sz w:val="28"/>
              <w:szCs w:val="28"/>
            </w:rPr>
            <w:t>、绩效评价工作情况</w:t>
          </w:r>
          <w:r>
            <w:rPr>
              <w:rFonts w:hint="eastAsia" w:ascii="仿宋" w:hAnsi="仿宋" w:eastAsia="仿宋" w:cs="仿宋"/>
              <w:sz w:val="28"/>
              <w:szCs w:val="28"/>
            </w:rPr>
            <w:tab/>
          </w:r>
          <w:r>
            <w:rPr>
              <w:rFonts w:hint="eastAsia" w:ascii="仿宋" w:hAnsi="仿宋" w:eastAsia="仿宋" w:cs="仿宋"/>
              <w:sz w:val="28"/>
              <w:szCs w:val="28"/>
            </w:rPr>
            <w:t>............</w:t>
          </w:r>
          <w:r>
            <w:rPr>
              <w:rFonts w:hint="eastAsia" w:ascii="仿宋" w:hAnsi="仿宋" w:eastAsia="仿宋" w:cs="仿宋"/>
              <w:sz w:val="28"/>
              <w:szCs w:val="28"/>
              <w:lang w:val="en-US" w:eastAsia="zh-CN"/>
            </w:rPr>
            <w:t>.</w:t>
          </w:r>
          <w:r>
            <w:rPr>
              <w:rFonts w:hint="eastAsia" w:ascii="仿宋" w:hAnsi="仿宋" w:eastAsia="仿宋" w:cs="仿宋"/>
              <w:sz w:val="28"/>
              <w:szCs w:val="28"/>
            </w:rPr>
            <w:t>.</w:t>
          </w:r>
          <w:r>
            <w:rPr>
              <w:rFonts w:hint="eastAsia" w:ascii="仿宋" w:hAnsi="仿宋" w:eastAsia="仿宋" w:cs="仿宋"/>
              <w:sz w:val="28"/>
              <w:szCs w:val="28"/>
              <w:lang w:val="en-US" w:eastAsia="zh-CN"/>
            </w:rPr>
            <w:t>.</w:t>
          </w:r>
          <w:r>
            <w:rPr>
              <w:rFonts w:hint="eastAsia" w:ascii="仿宋" w:hAnsi="仿宋" w:eastAsia="仿宋" w:cs="仿宋"/>
              <w:sz w:val="28"/>
              <w:szCs w:val="28"/>
            </w:rPr>
            <w:t>.</w:t>
          </w:r>
          <w:r>
            <w:rPr>
              <w:rFonts w:hint="eastAsia" w:ascii="仿宋" w:hAnsi="仿宋" w:eastAsia="仿宋" w:cs="仿宋"/>
              <w:sz w:val="28"/>
              <w:szCs w:val="28"/>
            </w:rPr>
            <w:tab/>
          </w:r>
          <w:r>
            <w:rPr>
              <w:rFonts w:hint="eastAsia" w:ascii="仿宋" w:hAnsi="仿宋" w:eastAsia="仿宋" w:cs="仿宋"/>
              <w:sz w:val="28"/>
              <w:szCs w:val="28"/>
            </w:rPr>
            <w:t>5</w:t>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"_Toc9575" </w:instrText>
          </w:r>
          <w:r>
            <w:fldChar w:fldCharType="separate"/>
          </w:r>
          <w:r>
            <w:rPr>
              <w:rFonts w:hint="eastAsia" w:ascii="仿宋" w:hAnsi="仿宋" w:eastAsia="仿宋" w:cs="仿宋"/>
              <w:sz w:val="28"/>
              <w:szCs w:val="28"/>
            </w:rPr>
            <w:t>2.1绩效评价目的及评价依据</w:t>
          </w:r>
          <w:r>
            <w:rPr>
              <w:rFonts w:hint="eastAsia" w:ascii="仿宋" w:hAnsi="仿宋" w:eastAsia="仿宋" w:cs="仿宋"/>
              <w:sz w:val="28"/>
              <w:szCs w:val="28"/>
            </w:rPr>
            <w:tab/>
          </w:r>
          <w:r>
            <w:rPr>
              <w:rFonts w:hint="eastAsia" w:ascii="仿宋" w:hAnsi="仿宋" w:eastAsia="仿宋" w:cs="仿宋"/>
              <w:sz w:val="28"/>
              <w:szCs w:val="28"/>
            </w:rPr>
            <w:t>5</w:t>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"_Toc27548" </w:instrText>
          </w:r>
          <w:r>
            <w:fldChar w:fldCharType="separate"/>
          </w:r>
          <w:r>
            <w:rPr>
              <w:rFonts w:hint="eastAsia" w:ascii="仿宋" w:hAnsi="仿宋" w:eastAsia="仿宋" w:cs="仿宋"/>
              <w:sz w:val="28"/>
              <w:szCs w:val="28"/>
            </w:rPr>
            <w:t>2.2绩效评价工作方案制定过程</w:t>
          </w:r>
          <w:r>
            <w:rPr>
              <w:rFonts w:hint="eastAsia" w:ascii="仿宋" w:hAnsi="仿宋" w:eastAsia="仿宋" w:cs="仿宋"/>
              <w:sz w:val="28"/>
              <w:szCs w:val="28"/>
            </w:rPr>
            <w:tab/>
          </w:r>
          <w:r>
            <w:rPr>
              <w:rFonts w:hint="eastAsia" w:ascii="仿宋" w:hAnsi="仿宋" w:eastAsia="仿宋" w:cs="仿宋"/>
              <w:sz w:val="28"/>
              <w:szCs w:val="28"/>
            </w:rPr>
            <w:t>6</w:t>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"_Toc1026" </w:instrText>
          </w:r>
          <w:r>
            <w:fldChar w:fldCharType="separate"/>
          </w:r>
          <w:r>
            <w:rPr>
              <w:rFonts w:hint="eastAsia" w:ascii="仿宋" w:hAnsi="仿宋" w:eastAsia="仿宋" w:cs="仿宋"/>
              <w:sz w:val="28"/>
              <w:szCs w:val="28"/>
            </w:rPr>
            <w:t>2.3绩效评价原则、评价方法等</w:t>
          </w:r>
          <w:r>
            <w:rPr>
              <w:rFonts w:hint="eastAsia" w:ascii="仿宋" w:hAnsi="仿宋" w:eastAsia="仿宋" w:cs="仿宋"/>
              <w:sz w:val="28"/>
              <w:szCs w:val="28"/>
            </w:rPr>
            <w:tab/>
          </w:r>
          <w:r>
            <w:rPr>
              <w:rFonts w:hint="eastAsia" w:ascii="仿宋" w:hAnsi="仿宋" w:eastAsia="仿宋" w:cs="仿宋"/>
              <w:sz w:val="28"/>
              <w:szCs w:val="28"/>
            </w:rPr>
            <w:t>6</w:t>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"_Toc26369" </w:instrText>
          </w:r>
          <w:r>
            <w:fldChar w:fldCharType="separate"/>
          </w:r>
          <w:r>
            <w:rPr>
              <w:rFonts w:hint="eastAsia"/>
              <w:lang w:val="en-US" w:eastAsia="zh-CN"/>
            </w:rPr>
            <w:t>三</w:t>
          </w:r>
          <w:r>
            <w:rPr>
              <w:rFonts w:hint="eastAsia" w:ascii="仿宋" w:hAnsi="仿宋" w:eastAsia="仿宋" w:cs="仿宋"/>
              <w:sz w:val="28"/>
              <w:szCs w:val="28"/>
            </w:rPr>
            <w:t>、具体绩效分析</w:t>
          </w:r>
          <w:r>
            <w:rPr>
              <w:rFonts w:hint="eastAsia" w:ascii="仿宋" w:hAnsi="仿宋" w:eastAsia="仿宋" w:cs="仿宋"/>
              <w:sz w:val="28"/>
              <w:szCs w:val="28"/>
            </w:rPr>
            <w:tab/>
          </w:r>
          <w:r>
            <w:rPr>
              <w:rFonts w:hint="eastAsia" w:ascii="仿宋" w:hAnsi="仿宋" w:eastAsia="仿宋" w:cs="仿宋"/>
              <w:sz w:val="28"/>
              <w:szCs w:val="28"/>
            </w:rPr>
            <w:t>9</w:t>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"_Toc26962" </w:instrText>
          </w:r>
          <w:r>
            <w:fldChar w:fldCharType="separate"/>
          </w:r>
          <w:r>
            <w:rPr>
              <w:rFonts w:hint="eastAsia" w:ascii="仿宋" w:hAnsi="仿宋" w:eastAsia="仿宋" w:cs="仿宋"/>
              <w:sz w:val="28"/>
              <w:szCs w:val="28"/>
            </w:rPr>
            <w:t>3.1投入指标类</w:t>
          </w:r>
          <w:r>
            <w:rPr>
              <w:rFonts w:hint="eastAsia" w:ascii="仿宋" w:hAnsi="仿宋" w:eastAsia="仿宋" w:cs="仿宋"/>
              <w:sz w:val="28"/>
              <w:szCs w:val="28"/>
            </w:rPr>
            <w:tab/>
          </w:r>
          <w:r>
            <w:rPr>
              <w:rFonts w:hint="eastAsia" w:ascii="仿宋" w:hAnsi="仿宋" w:eastAsia="仿宋" w:cs="仿宋"/>
              <w:sz w:val="28"/>
              <w:szCs w:val="28"/>
            </w:rPr>
            <w:t>9</w:t>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"_Toc19807" </w:instrText>
          </w:r>
          <w:r>
            <w:fldChar w:fldCharType="separate"/>
          </w:r>
          <w:r>
            <w:rPr>
              <w:rFonts w:hint="eastAsia" w:ascii="仿宋" w:hAnsi="仿宋" w:eastAsia="仿宋" w:cs="仿宋"/>
              <w:sz w:val="28"/>
              <w:szCs w:val="28"/>
            </w:rPr>
            <w:t>3.2过程指标类</w:t>
          </w:r>
          <w:r>
            <w:rPr>
              <w:rFonts w:hint="eastAsia" w:ascii="仿宋" w:hAnsi="仿宋" w:eastAsia="仿宋" w:cs="仿宋"/>
              <w:sz w:val="28"/>
              <w:szCs w:val="28"/>
            </w:rPr>
            <w:tab/>
          </w:r>
          <w:r>
            <w:rPr>
              <w:rFonts w:hint="eastAsia" w:ascii="仿宋" w:hAnsi="仿宋" w:eastAsia="仿宋" w:cs="仿宋"/>
              <w:sz w:val="28"/>
              <w:szCs w:val="28"/>
            </w:rPr>
            <w:t>12</w:t>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"_Toc29993" </w:instrText>
          </w:r>
          <w:r>
            <w:fldChar w:fldCharType="separate"/>
          </w:r>
          <w:r>
            <w:rPr>
              <w:rFonts w:hint="eastAsia" w:ascii="仿宋" w:hAnsi="仿宋" w:eastAsia="仿宋" w:cs="仿宋"/>
              <w:sz w:val="28"/>
              <w:szCs w:val="28"/>
            </w:rPr>
            <w:t>3.3产出指标类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_Toc29993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ind w:left="221"/>
            <w:rPr>
              <w:rFonts w:ascii="仿宋" w:hAnsi="仿宋" w:eastAsia="仿宋" w:cs="仿宋"/>
              <w:sz w:val="28"/>
              <w:szCs w:val="28"/>
            </w:rPr>
          </w:pPr>
          <w:r>
            <w:fldChar w:fldCharType="begin"/>
          </w:r>
          <w:r>
            <w:instrText xml:space="preserve"> HYPERLINK \l "_Toc815" </w:instrText>
          </w:r>
          <w:r>
            <w:fldChar w:fldCharType="separate"/>
          </w:r>
          <w:r>
            <w:rPr>
              <w:rFonts w:hint="eastAsia" w:ascii="仿宋" w:hAnsi="仿宋" w:eastAsia="仿宋" w:cs="仿宋"/>
              <w:sz w:val="28"/>
              <w:szCs w:val="28"/>
            </w:rPr>
            <w:t>3.4效果指标类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_Toc815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"_Toc1375" </w:instrText>
          </w:r>
          <w:r>
            <w:fldChar w:fldCharType="separate"/>
          </w:r>
          <w:r>
            <w:rPr>
              <w:rFonts w:hint="eastAsia"/>
              <w:lang w:val="en-US" w:eastAsia="zh-CN"/>
            </w:rPr>
            <w:t>四</w:t>
          </w:r>
          <w:r>
            <w:rPr>
              <w:rFonts w:hint="eastAsia" w:ascii="仿宋" w:hAnsi="仿宋" w:eastAsia="仿宋" w:cs="仿宋"/>
              <w:sz w:val="28"/>
              <w:szCs w:val="28"/>
            </w:rPr>
            <w:t>、 绩效评价结论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_Toc1375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"_Toc1207" </w:instrText>
          </w:r>
          <w:r>
            <w:fldChar w:fldCharType="separate"/>
          </w:r>
          <w:r>
            <w:rPr>
              <w:rFonts w:hint="eastAsia"/>
              <w:lang w:val="en-US" w:eastAsia="zh-CN"/>
            </w:rPr>
            <w:t>五</w:t>
          </w:r>
          <w:r>
            <w:rPr>
              <w:rFonts w:hint="eastAsia" w:ascii="仿宋" w:hAnsi="仿宋" w:eastAsia="仿宋" w:cs="仿宋"/>
              <w:sz w:val="28"/>
              <w:szCs w:val="28"/>
            </w:rPr>
            <w:t>、存在的问题和建议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_Toc1207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rPr>
              <w:rFonts w:ascii="仿宋" w:hAnsi="仿宋" w:eastAsia="仿宋" w:cs="仿宋"/>
              <w:sz w:val="28"/>
              <w:szCs w:val="28"/>
            </w:rPr>
          </w:pPr>
          <w:r>
            <w:fldChar w:fldCharType="begin"/>
          </w:r>
          <w:r>
            <w:instrText xml:space="preserve"> HYPERLINK \l "_Toc5351" </w:instrText>
          </w:r>
          <w:r>
            <w:fldChar w:fldCharType="separate"/>
          </w:r>
          <w:r>
            <w:rPr>
              <w:rFonts w:hint="eastAsia" w:ascii="仿宋" w:hAnsi="仿宋" w:eastAsia="仿宋" w:cs="仿宋"/>
              <w:sz w:val="28"/>
              <w:szCs w:val="28"/>
            </w:rPr>
            <w:t>5.1存在的问题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_Toc5351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0"/>
            <w:tabs>
              <w:tab w:val="right" w:leader="dot" w:pos="8306"/>
            </w:tabs>
            <w:spacing w:line="400" w:lineRule="exact"/>
            <w:ind w:left="221"/>
            <w:rPr>
              <w:rFonts w:ascii="仿宋" w:hAnsi="仿宋" w:eastAsia="仿宋" w:cs="仿宋"/>
              <w:sz w:val="28"/>
              <w:szCs w:val="28"/>
            </w:rPr>
          </w:pPr>
          <w:r>
            <w:fldChar w:fldCharType="begin"/>
          </w:r>
          <w:r>
            <w:instrText xml:space="preserve"> HYPERLINK \l "_Toc27799" </w:instrText>
          </w:r>
          <w:r>
            <w:fldChar w:fldCharType="separate"/>
          </w:r>
          <w:r>
            <w:rPr>
              <w:rFonts w:hint="eastAsia" w:ascii="仿宋" w:hAnsi="仿宋" w:eastAsia="仿宋" w:cs="仿宋"/>
              <w:sz w:val="28"/>
              <w:szCs w:val="28"/>
            </w:rPr>
            <w:t>5.2改进措施和建议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_Toc27799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fldChar w:fldCharType="begin"/>
          </w:r>
          <w:r>
            <w:instrText xml:space="preserve"> HYPERLINK \l "_Toc9940" </w:instrText>
          </w:r>
          <w:r>
            <w:fldChar w:fldCharType="separate"/>
          </w:r>
          <w:r>
            <w:rPr>
              <w:rFonts w:hint="eastAsia"/>
              <w:lang w:val="en-US" w:eastAsia="zh-CN"/>
            </w:rPr>
            <w:t>六</w:t>
          </w:r>
          <w:r>
            <w:rPr>
              <w:rFonts w:hint="eastAsia" w:ascii="仿宋" w:hAnsi="仿宋" w:eastAsia="仿宋" w:cs="仿宋"/>
              <w:sz w:val="28"/>
              <w:szCs w:val="28"/>
            </w:rPr>
            <w:t>、其他事项说明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_Toc9940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306"/>
            </w:tabs>
            <w:spacing w:line="400" w:lineRule="exact"/>
            <w:rPr>
              <w:rFonts w:ascii="仿宋" w:hAnsi="仿宋" w:eastAsia="仿宋" w:cs="仿宋"/>
              <w:sz w:val="28"/>
              <w:szCs w:val="28"/>
            </w:rPr>
          </w:pPr>
          <w:r>
            <w:rPr>
              <w:rFonts w:hint="eastAsia" w:ascii="仿宋" w:hAnsi="仿宋" w:eastAsia="仿宋" w:cs="仿宋"/>
              <w:sz w:val="28"/>
              <w:szCs w:val="28"/>
              <w:lang w:val="en-US" w:eastAsia="zh-CN"/>
            </w:rPr>
            <w:t>七</w:t>
          </w:r>
          <w:r>
            <w:rPr>
              <w:rFonts w:hint="eastAsia" w:ascii="仿宋" w:hAnsi="仿宋" w:eastAsia="仿宋" w:cs="仿宋"/>
              <w:sz w:val="28"/>
              <w:szCs w:val="28"/>
            </w:rPr>
            <w:t>、附件1：2022年度赣州蓉江新区疾病预防控制中心整体支出绩效评价指标体系及评分表</w:t>
          </w:r>
        </w:p>
        <w:p>
          <w:pPr>
            <w:pStyle w:val="9"/>
            <w:tabs>
              <w:tab w:val="right" w:leader="dot" w:pos="8306"/>
            </w:tabs>
            <w:spacing w:line="400" w:lineRule="exact"/>
            <w:ind w:firstLine="560" w:firstLineChars="200"/>
            <w:rPr>
              <w:rFonts w:ascii="仿宋" w:hAnsi="仿宋" w:eastAsia="仿宋"/>
              <w:sz w:val="28"/>
              <w:szCs w:val="28"/>
            </w:rPr>
          </w:pPr>
          <w:r>
            <w:rPr>
              <w:rFonts w:hint="eastAsia" w:ascii="仿宋" w:hAnsi="仿宋" w:eastAsia="仿宋" w:cs="仿宋"/>
              <w:sz w:val="28"/>
              <w:szCs w:val="28"/>
            </w:rPr>
            <w:t>附件2：2022年度赣州蓉江新区疾病预防控制中心整体支出绩效评价满意度调查问卷（样卷）</w:t>
          </w:r>
        </w:p>
        <w:p>
          <w:pPr>
            <w:spacing w:line="400" w:lineRule="exact"/>
            <w:sectPr>
              <w:pgSz w:w="11906" w:h="16838"/>
              <w:pgMar w:top="1440" w:right="1800" w:bottom="1440" w:left="1800" w:header="851" w:footer="992" w:gutter="0"/>
              <w:pgNumType w:fmt="decimal"/>
              <w:cols w:space="425" w:num="1"/>
              <w:docGrid w:type="lines" w:linePitch="312" w:charSpace="0"/>
            </w:sectPr>
          </w:pPr>
          <w:r>
            <w:rPr>
              <w:rFonts w:ascii="仿宋" w:hAnsi="仿宋" w:eastAsia="仿宋"/>
              <w:sz w:val="28"/>
              <w:szCs w:val="28"/>
            </w:rPr>
            <w:fldChar w:fldCharType="end"/>
          </w:r>
        </w:p>
      </w:sdtContent>
    </w:sdt>
    <w:p>
      <w:pPr>
        <w:rPr>
          <w:rFonts w:ascii="仿宋" w:hAnsi="仿宋" w:eastAsia="仿宋"/>
          <w:sz w:val="28"/>
          <w:szCs w:val="28"/>
        </w:rPr>
        <w:sectPr>
          <w:type w:val="continuous"/>
          <w:pgSz w:w="11906" w:h="16838"/>
          <w:pgMar w:top="1440" w:right="1800" w:bottom="1440" w:left="1800" w:header="851" w:footer="992" w:gutter="0"/>
          <w:pgNumType w:fmt="decimal"/>
          <w:cols w:space="425" w:num="1"/>
          <w:docGrid w:type="lines" w:linePitch="312" w:charSpace="0"/>
        </w:sectPr>
      </w:pPr>
    </w:p>
    <w:p>
      <w:pPr>
        <w:bidi w:val="0"/>
        <w:jc w:val="center"/>
        <w:rPr>
          <w:rFonts w:hint="eastAsia" w:ascii="仿宋" w:hAnsi="仿宋" w:eastAsia="仿宋" w:cs="仿宋"/>
          <w:b/>
          <w:bCs/>
          <w:sz w:val="44"/>
          <w:szCs w:val="44"/>
        </w:rPr>
      </w:pPr>
      <w:bookmarkStart w:id="16" w:name="_Toc20851"/>
      <w:bookmarkStart w:id="17" w:name="_Toc4504"/>
      <w:bookmarkStart w:id="18" w:name="_Toc12867"/>
      <w:r>
        <w:rPr>
          <w:rFonts w:hint="eastAsia" w:ascii="仿宋" w:hAnsi="仿宋" w:eastAsia="仿宋" w:cs="仿宋"/>
          <w:b/>
          <w:bCs/>
          <w:sz w:val="44"/>
          <w:szCs w:val="44"/>
        </w:rPr>
        <w:t>赣州蓉江新区疾病预防控制中心</w:t>
      </w:r>
    </w:p>
    <w:p>
      <w:pPr>
        <w:bidi w:val="0"/>
        <w:jc w:val="center"/>
        <w:rPr>
          <w:rFonts w:hint="eastAsia" w:ascii="仿宋" w:hAnsi="仿宋" w:eastAsia="仿宋" w:cs="仿宋"/>
          <w:b/>
          <w:bCs/>
          <w:sz w:val="44"/>
          <w:szCs w:val="44"/>
        </w:rPr>
      </w:pPr>
      <w:r>
        <w:rPr>
          <w:rFonts w:hint="eastAsia" w:ascii="仿宋" w:hAnsi="仿宋" w:eastAsia="仿宋" w:cs="仿宋"/>
          <w:b/>
          <w:bCs/>
          <w:sz w:val="44"/>
          <w:szCs w:val="44"/>
        </w:rPr>
        <w:t>2022年度部门整体支出绩效评价报告</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cs="仿宋_GB2312" w:asciiTheme="majorEastAsia" w:hAnsiTheme="majorEastAsia" w:eastAsiaTheme="majorEastAsia"/>
          <w:color w:val="auto"/>
          <w:sz w:val="28"/>
          <w:szCs w:val="28"/>
          <w:highlight w:val="yellow"/>
          <w:u w:val="single"/>
        </w:rPr>
      </w:pPr>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w:t>
      </w:r>
      <w:r>
        <w:rPr>
          <w:rFonts w:hint="eastAsia" w:cs="仿宋" w:asciiTheme="majorEastAsia" w:hAnsiTheme="majorEastAsia" w:eastAsiaTheme="majorEastAsia"/>
          <w:color w:val="auto"/>
          <w:sz w:val="28"/>
          <w:szCs w:val="28"/>
          <w:highlight w:val="none"/>
          <w:u w:val="none"/>
        </w:rPr>
        <w:t>1</w:t>
      </w:r>
      <w:r>
        <w:rPr>
          <w:rFonts w:hint="eastAsia" w:cs="仿宋" w:asciiTheme="majorEastAsia" w:hAnsiTheme="majorEastAsia" w:eastAsiaTheme="majorEastAsia"/>
          <w:color w:val="auto"/>
          <w:sz w:val="28"/>
          <w:szCs w:val="28"/>
          <w:highlight w:val="none"/>
          <w:u w:val="none"/>
          <w:lang w:val="en-US" w:eastAsia="zh-CN"/>
        </w:rPr>
        <w:t>9</w:t>
      </w:r>
      <w:r>
        <w:rPr>
          <w:rFonts w:hint="eastAsia" w:cs="仿宋" w:asciiTheme="majorEastAsia" w:hAnsiTheme="majorEastAsia" w:eastAsiaTheme="majorEastAsia"/>
          <w:sz w:val="28"/>
          <w:szCs w:val="28"/>
          <w:highlight w:val="none"/>
          <w:u w:val="none"/>
        </w:rPr>
        <w:t>号</w:t>
      </w:r>
    </w:p>
    <w:p>
      <w:pPr>
        <w:spacing w:line="540" w:lineRule="exact"/>
        <w:rPr>
          <w:rFonts w:ascii="仿宋" w:hAnsi="仿宋" w:eastAsia="仿宋"/>
          <w:sz w:val="32"/>
          <w:szCs w:val="32"/>
        </w:rPr>
      </w:pPr>
      <w:r>
        <w:rPr>
          <w:rFonts w:hint="eastAsia" w:ascii="仿宋" w:hAnsi="仿宋" w:eastAsia="仿宋"/>
          <w:sz w:val="32"/>
          <w:szCs w:val="32"/>
        </w:rPr>
        <w:t>赣州蓉江新区财政局：</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疾病预防控制中心2022年度部门整体支出的绩效评价工作。本次绩效评价工作严格依照相关法律法规的规定，遵循“独立、客观、公正、科学”的原则进行。</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国众联资产评估土地房地产估价有限公司接受委托任务后于2023年10月开始，抽调精干人员力量组成绩效评价组，精心制定绩效评价方案，通过访谈、查阅文件文献、问卷调查、现场调研等方式，充分了解和掌握了评价对象的相关情况后，按照绩效评价指标体系，对部门整体支出取得的成效与经验、存在的问题进行归纳总结，并提出相关建议，得出评价结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绩效评价组以绩效评价指标体系要求为基础进行资料收集，收集了部门整体支出实施过程中的各项资料，对部门整体支出单位相关负责人进行访谈、开展部门服务对象的满意度调查工作等，在此基础上形成《赣州蓉江新区疾病预防控制中心2022年度部门整体支出绩效评价报告》。</w:t>
      </w:r>
    </w:p>
    <w:p>
      <w:pPr>
        <w:spacing w:line="520" w:lineRule="exact"/>
        <w:outlineLvl w:val="0"/>
        <w:rPr>
          <w:rFonts w:ascii="仿宋" w:hAnsi="仿宋" w:eastAsia="仿宋" w:cs="仿宋"/>
          <w:b/>
          <w:sz w:val="32"/>
          <w:szCs w:val="32"/>
        </w:rPr>
      </w:pPr>
      <w:bookmarkStart w:id="19" w:name="_Toc4315"/>
      <w:r>
        <w:rPr>
          <w:rFonts w:ascii="仿宋" w:hAnsi="仿宋" w:eastAsia="仿宋"/>
          <w:sz w:val="32"/>
          <w:szCs w:val="32"/>
        </w:rPr>
        <w:fldChar w:fldCharType="begin"/>
      </w:r>
      <w:r>
        <w:rPr>
          <w:rFonts w:ascii="仿宋" w:hAnsi="仿宋" w:eastAsia="仿宋"/>
          <w:sz w:val="32"/>
          <w:szCs w:val="32"/>
        </w:rPr>
        <w:instrText xml:space="preserve"> HYPERLINK \l "_Toc123122489"</w:instrText>
      </w:r>
      <w:r>
        <w:rPr>
          <w:rFonts w:ascii="仿宋" w:hAnsi="仿宋" w:eastAsia="仿宋"/>
          <w:sz w:val="32"/>
          <w:szCs w:val="32"/>
        </w:rPr>
        <w:fldChar w:fldCharType="separate"/>
      </w:r>
      <w:r>
        <w:rPr>
          <w:rFonts w:hint="eastAsia" w:ascii="仿宋" w:hAnsi="仿宋" w:eastAsia="仿宋"/>
          <w:sz w:val="32"/>
          <w:szCs w:val="32"/>
          <w:lang w:val="en-US" w:eastAsia="zh-CN"/>
        </w:rPr>
        <w:t>一</w:t>
      </w:r>
      <w:r>
        <w:rPr>
          <w:rFonts w:ascii="仿宋" w:hAnsi="仿宋" w:eastAsia="仿宋" w:cs="仿宋"/>
          <w:b/>
          <w:sz w:val="32"/>
          <w:szCs w:val="32"/>
        </w:rPr>
        <w:t>、部门</w:t>
      </w:r>
      <w:r>
        <w:rPr>
          <w:rFonts w:hint="eastAsia" w:ascii="仿宋" w:hAnsi="仿宋" w:eastAsia="仿宋" w:cs="仿宋"/>
          <w:b/>
          <w:sz w:val="32"/>
          <w:szCs w:val="32"/>
        </w:rPr>
        <w:t>及整体支出</w:t>
      </w:r>
      <w:r>
        <w:rPr>
          <w:rFonts w:ascii="仿宋" w:hAnsi="仿宋" w:eastAsia="仿宋" w:cs="仿宋"/>
          <w:b/>
          <w:sz w:val="32"/>
          <w:szCs w:val="32"/>
        </w:rPr>
        <w:t>概况</w:t>
      </w:r>
      <w:r>
        <w:rPr>
          <w:rFonts w:ascii="仿宋" w:hAnsi="仿宋" w:eastAsia="仿宋" w:cs="仿宋"/>
          <w:b/>
          <w:sz w:val="32"/>
          <w:szCs w:val="32"/>
        </w:rPr>
        <w:tab/>
      </w:r>
      <w:r>
        <w:rPr>
          <w:rFonts w:ascii="仿宋" w:hAnsi="仿宋" w:eastAsia="仿宋" w:cs="仿宋"/>
          <w:b/>
          <w:sz w:val="32"/>
          <w:szCs w:val="32"/>
        </w:rPr>
        <w:fldChar w:fldCharType="end"/>
      </w:r>
      <w:bookmarkEnd w:id="19"/>
    </w:p>
    <w:p>
      <w:pPr>
        <w:spacing w:line="520" w:lineRule="exact"/>
        <w:outlineLvl w:val="1"/>
        <w:rPr>
          <w:rFonts w:ascii="仿宋" w:hAnsi="仿宋" w:eastAsia="仿宋" w:cs="仿宋"/>
          <w:b/>
          <w:sz w:val="32"/>
          <w:szCs w:val="32"/>
        </w:rPr>
      </w:pPr>
      <w:bookmarkStart w:id="20" w:name="_Toc29758"/>
      <w:r>
        <w:rPr>
          <w:rFonts w:hint="eastAsia" w:ascii="仿宋" w:hAnsi="仿宋" w:eastAsia="仿宋" w:cs="仿宋"/>
          <w:b/>
          <w:sz w:val="32"/>
          <w:szCs w:val="32"/>
        </w:rPr>
        <w:t>1.1</w:t>
      </w:r>
      <w:r>
        <w:fldChar w:fldCharType="begin"/>
      </w:r>
      <w:r>
        <w:instrText xml:space="preserve"> HYPERLINK \l "_Toc123122490" </w:instrText>
      </w:r>
      <w:r>
        <w:fldChar w:fldCharType="separate"/>
      </w:r>
      <w:r>
        <w:rPr>
          <w:rFonts w:ascii="仿宋" w:hAnsi="仿宋" w:eastAsia="仿宋" w:cs="仿宋"/>
          <w:b/>
          <w:sz w:val="32"/>
          <w:szCs w:val="32"/>
        </w:rPr>
        <w:t>组织架构及人员、</w:t>
      </w:r>
      <w:r>
        <w:rPr>
          <w:rFonts w:hint="eastAsia" w:ascii="仿宋" w:hAnsi="仿宋" w:eastAsia="仿宋" w:cs="仿宋"/>
          <w:b/>
          <w:sz w:val="32"/>
          <w:szCs w:val="32"/>
        </w:rPr>
        <w:t>主要</w:t>
      </w:r>
      <w:r>
        <w:rPr>
          <w:rFonts w:ascii="仿宋" w:hAnsi="仿宋" w:eastAsia="仿宋" w:cs="仿宋"/>
          <w:b/>
          <w:sz w:val="32"/>
          <w:szCs w:val="32"/>
        </w:rPr>
        <w:t>职责职能、资产等基本情况</w:t>
      </w:r>
      <w:r>
        <w:rPr>
          <w:rFonts w:ascii="仿宋" w:hAnsi="仿宋" w:eastAsia="仿宋" w:cs="仿宋"/>
          <w:b/>
          <w:sz w:val="32"/>
          <w:szCs w:val="32"/>
        </w:rPr>
        <w:tab/>
      </w:r>
      <w:r>
        <w:rPr>
          <w:rFonts w:ascii="仿宋" w:hAnsi="仿宋" w:eastAsia="仿宋" w:cs="仿宋"/>
          <w:b/>
          <w:sz w:val="32"/>
          <w:szCs w:val="32"/>
        </w:rPr>
        <w:fldChar w:fldCharType="end"/>
      </w:r>
      <w:bookmarkEnd w:id="20"/>
    </w:p>
    <w:p>
      <w:pPr>
        <w:spacing w:line="520" w:lineRule="exact"/>
        <w:outlineLvl w:val="2"/>
        <w:rPr>
          <w:rFonts w:ascii="仿宋" w:hAnsi="仿宋" w:eastAsia="仿宋"/>
          <w:b/>
          <w:sz w:val="32"/>
          <w:szCs w:val="32"/>
        </w:rPr>
      </w:pPr>
      <w:bookmarkStart w:id="21" w:name="_Toc11754"/>
      <w:bookmarkStart w:id="22" w:name="_Toc28164"/>
      <w:r>
        <w:rPr>
          <w:rFonts w:hint="eastAsia" w:ascii="仿宋" w:hAnsi="仿宋" w:eastAsia="仿宋" w:cs="仿宋"/>
          <w:b/>
          <w:sz w:val="32"/>
          <w:szCs w:val="32"/>
        </w:rPr>
        <w:t>1.1.1</w:t>
      </w:r>
      <w:r>
        <w:fldChar w:fldCharType="begin"/>
      </w:r>
      <w:r>
        <w:instrText xml:space="preserve"> HYPERLINK \l "_Toc123122491" </w:instrText>
      </w:r>
      <w:r>
        <w:fldChar w:fldCharType="separate"/>
      </w:r>
      <w:r>
        <w:rPr>
          <w:rFonts w:ascii="仿宋" w:hAnsi="仿宋" w:eastAsia="仿宋" w:cs="仿宋"/>
          <w:b/>
          <w:sz w:val="32"/>
          <w:szCs w:val="32"/>
        </w:rPr>
        <w:t>机构情况及人员情况</w:t>
      </w:r>
      <w:r>
        <w:rPr>
          <w:rFonts w:ascii="仿宋" w:hAnsi="仿宋" w:eastAsia="仿宋" w:cs="仿宋"/>
          <w:b/>
          <w:sz w:val="32"/>
          <w:szCs w:val="32"/>
        </w:rPr>
        <w:tab/>
      </w:r>
      <w:r>
        <w:rPr>
          <w:rFonts w:ascii="仿宋" w:hAnsi="仿宋" w:eastAsia="仿宋" w:cs="仿宋"/>
          <w:b/>
          <w:sz w:val="32"/>
          <w:szCs w:val="32"/>
        </w:rPr>
        <w:fldChar w:fldCharType="end"/>
      </w:r>
      <w:bookmarkEnd w:id="21"/>
      <w:bookmarkEnd w:id="22"/>
    </w:p>
    <w:p>
      <w:pPr>
        <w:pStyle w:val="11"/>
        <w:spacing w:line="520" w:lineRule="exact"/>
        <w:ind w:firstLine="539"/>
        <w:textAlignment w:val="baseline"/>
        <w:rPr>
          <w:rFonts w:ascii="仿宋" w:hAnsi="仿宋" w:eastAsia="仿宋" w:cstheme="minorBidi"/>
          <w:kern w:val="2"/>
          <w:sz w:val="32"/>
          <w:szCs w:val="32"/>
        </w:rPr>
      </w:pPr>
      <w:r>
        <w:rPr>
          <w:rFonts w:hint="eastAsia" w:ascii="仿宋" w:hAnsi="仿宋" w:eastAsia="仿宋" w:cstheme="minorBidi"/>
          <w:kern w:val="2"/>
          <w:sz w:val="32"/>
          <w:szCs w:val="32"/>
        </w:rPr>
        <w:t>赣州蓉江新区疾病预防控制中心（以下简称“蓉江新区疾控中心”）是基层事业单位。经机构管理部门核定编制人数为33人，其中：事业编制33人。年末在职人数32人(含在编在岗人员13人、借调人员2人、雇员3人、临聘人员14人)。</w:t>
      </w:r>
    </w:p>
    <w:p>
      <w:pPr>
        <w:spacing w:line="520" w:lineRule="exact"/>
        <w:outlineLvl w:val="2"/>
        <w:rPr>
          <w:rFonts w:ascii="仿宋" w:hAnsi="仿宋" w:eastAsia="仿宋" w:cs="仿宋"/>
          <w:b/>
          <w:sz w:val="32"/>
          <w:szCs w:val="32"/>
        </w:rPr>
      </w:pPr>
      <w:bookmarkStart w:id="23" w:name="_Toc18570"/>
      <w:bookmarkStart w:id="24" w:name="_Toc32406"/>
      <w:r>
        <w:rPr>
          <w:rFonts w:ascii="仿宋" w:hAnsi="仿宋" w:eastAsia="仿宋"/>
          <w:sz w:val="32"/>
          <w:szCs w:val="32"/>
        </w:rPr>
        <w:fldChar w:fldCharType="begin"/>
      </w:r>
      <w:r>
        <w:rPr>
          <w:rFonts w:ascii="仿宋" w:hAnsi="仿宋" w:eastAsia="仿宋"/>
          <w:sz w:val="32"/>
          <w:szCs w:val="32"/>
        </w:rPr>
        <w:instrText xml:space="preserve"> HYPERLINK \l "_Toc123122492"</w:instrText>
      </w:r>
      <w:r>
        <w:rPr>
          <w:rFonts w:ascii="仿宋" w:hAnsi="仿宋" w:eastAsia="仿宋"/>
          <w:sz w:val="32"/>
          <w:szCs w:val="32"/>
        </w:rPr>
        <w:fldChar w:fldCharType="separate"/>
      </w:r>
      <w:r>
        <w:rPr>
          <w:rFonts w:hint="eastAsia" w:ascii="仿宋" w:hAnsi="仿宋" w:eastAsia="仿宋" w:cs="仿宋"/>
          <w:b/>
          <w:sz w:val="32"/>
          <w:szCs w:val="32"/>
        </w:rPr>
        <w:t>1.1.2主要</w:t>
      </w:r>
      <w:r>
        <w:rPr>
          <w:rFonts w:ascii="仿宋" w:hAnsi="仿宋" w:eastAsia="仿宋" w:cs="仿宋"/>
          <w:b/>
          <w:sz w:val="32"/>
          <w:szCs w:val="32"/>
        </w:rPr>
        <w:t>职责职能</w:t>
      </w:r>
      <w:r>
        <w:rPr>
          <w:rFonts w:ascii="仿宋" w:hAnsi="仿宋" w:eastAsia="仿宋" w:cs="仿宋"/>
          <w:b/>
          <w:sz w:val="32"/>
          <w:szCs w:val="32"/>
        </w:rPr>
        <w:tab/>
      </w:r>
      <w:r>
        <w:rPr>
          <w:rFonts w:ascii="仿宋" w:hAnsi="仿宋" w:eastAsia="仿宋" w:cs="仿宋"/>
          <w:b/>
          <w:sz w:val="32"/>
          <w:szCs w:val="32"/>
        </w:rPr>
        <w:fldChar w:fldCharType="end"/>
      </w:r>
      <w:bookmarkEnd w:id="23"/>
      <w:bookmarkEnd w:id="24"/>
    </w:p>
    <w:p>
      <w:pPr>
        <w:pStyle w:val="2"/>
        <w:spacing w:line="520" w:lineRule="exact"/>
        <w:ind w:firstLine="640"/>
        <w:rPr>
          <w:rFonts w:ascii="仿宋" w:hAnsi="仿宋" w:eastAsia="仿宋"/>
          <w:sz w:val="32"/>
          <w:szCs w:val="32"/>
        </w:rPr>
      </w:pPr>
      <w:r>
        <w:rPr>
          <w:rFonts w:hint="eastAsia" w:ascii="仿宋" w:hAnsi="仿宋" w:eastAsia="仿宋"/>
          <w:sz w:val="32"/>
          <w:szCs w:val="32"/>
        </w:rPr>
        <w:t>主要承担辖区内疾病预防与控制、突发公共卫生事件应急处置、疫情及健康相关因素信息管理、职业健康监护及健康危害因素监测与干预、实验室检测检验与评价、健康教育与促进技术管理与应用研究指导、学生近视、肥胖等常见病发病及影响因素监测评估、防治技术指导等职责。</w:t>
      </w:r>
    </w:p>
    <w:p>
      <w:pPr>
        <w:spacing w:line="520" w:lineRule="exact"/>
        <w:outlineLvl w:val="2"/>
        <w:rPr>
          <w:rFonts w:ascii="仿宋" w:hAnsi="仿宋" w:eastAsia="仿宋"/>
          <w:b/>
          <w:sz w:val="32"/>
          <w:szCs w:val="32"/>
        </w:rPr>
      </w:pPr>
      <w:bookmarkStart w:id="25" w:name="_Toc22051"/>
      <w:bookmarkStart w:id="26" w:name="_Toc16862"/>
      <w:r>
        <w:rPr>
          <w:rFonts w:ascii="仿宋" w:hAnsi="仿宋" w:eastAsia="仿宋"/>
          <w:sz w:val="32"/>
          <w:szCs w:val="32"/>
        </w:rPr>
        <w:fldChar w:fldCharType="begin"/>
      </w:r>
      <w:r>
        <w:rPr>
          <w:rFonts w:ascii="仿宋" w:hAnsi="仿宋" w:eastAsia="仿宋"/>
          <w:sz w:val="32"/>
          <w:szCs w:val="32"/>
        </w:rPr>
        <w:instrText xml:space="preserve"> HYPERLINK \l "_Toc123122493"</w:instrText>
      </w:r>
      <w:r>
        <w:rPr>
          <w:rFonts w:ascii="仿宋" w:hAnsi="仿宋" w:eastAsia="仿宋"/>
          <w:sz w:val="32"/>
          <w:szCs w:val="32"/>
        </w:rPr>
        <w:fldChar w:fldCharType="separate"/>
      </w:r>
      <w:r>
        <w:rPr>
          <w:rFonts w:hint="eastAsia" w:ascii="仿宋" w:hAnsi="仿宋" w:eastAsia="仿宋" w:cs="仿宋"/>
          <w:b/>
          <w:sz w:val="32"/>
          <w:szCs w:val="32"/>
        </w:rPr>
        <w:t>1.1.3</w:t>
      </w:r>
      <w:r>
        <w:rPr>
          <w:rFonts w:ascii="仿宋" w:hAnsi="仿宋" w:eastAsia="仿宋" w:cs="仿宋"/>
          <w:b/>
          <w:sz w:val="32"/>
          <w:szCs w:val="32"/>
        </w:rPr>
        <w:t>资产情况</w:t>
      </w:r>
      <w:r>
        <w:rPr>
          <w:rFonts w:ascii="仿宋" w:hAnsi="仿宋" w:eastAsia="仿宋" w:cs="仿宋"/>
          <w:b/>
          <w:sz w:val="32"/>
          <w:szCs w:val="32"/>
        </w:rPr>
        <w:tab/>
      </w:r>
      <w:r>
        <w:rPr>
          <w:rFonts w:ascii="仿宋" w:hAnsi="仿宋" w:eastAsia="仿宋" w:cs="仿宋"/>
          <w:b/>
          <w:sz w:val="32"/>
          <w:szCs w:val="32"/>
        </w:rPr>
        <w:fldChar w:fldCharType="end"/>
      </w:r>
      <w:bookmarkEnd w:id="25"/>
      <w:bookmarkEnd w:id="26"/>
    </w:p>
    <w:p>
      <w:pPr>
        <w:spacing w:line="520" w:lineRule="exact"/>
        <w:ind w:firstLine="640" w:firstLineChars="200"/>
        <w:rPr>
          <w:rFonts w:ascii="仿宋" w:hAnsi="仿宋" w:eastAsia="仿宋" w:cs="仿宋"/>
          <w:b/>
          <w:sz w:val="32"/>
          <w:szCs w:val="32"/>
          <w:highlight w:val="yellow"/>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2年末账面反映资产总额</w:t>
      </w:r>
      <w:r>
        <w:rPr>
          <w:rFonts w:ascii="仿宋" w:hAnsi="仿宋" w:eastAsia="仿宋"/>
          <w:sz w:val="32"/>
          <w:szCs w:val="32"/>
        </w:rPr>
        <w:t>2739796.17</w:t>
      </w:r>
      <w:r>
        <w:rPr>
          <w:rFonts w:hint="eastAsia" w:ascii="仿宋" w:hAnsi="仿宋" w:eastAsia="仿宋"/>
          <w:sz w:val="32"/>
          <w:szCs w:val="32"/>
        </w:rPr>
        <w:t>元，其中流动资产</w:t>
      </w:r>
      <w:r>
        <w:rPr>
          <w:rFonts w:ascii="仿宋" w:hAnsi="仿宋" w:eastAsia="仿宋"/>
          <w:sz w:val="32"/>
          <w:szCs w:val="32"/>
        </w:rPr>
        <w:t>2216173.99</w:t>
      </w:r>
      <w:r>
        <w:rPr>
          <w:rFonts w:hint="eastAsia" w:ascii="仿宋" w:hAnsi="仿宋" w:eastAsia="仿宋"/>
          <w:sz w:val="32"/>
          <w:szCs w:val="32"/>
        </w:rPr>
        <w:t>元(其中包括货币资金</w:t>
      </w:r>
      <w:r>
        <w:rPr>
          <w:rFonts w:ascii="仿宋" w:hAnsi="仿宋" w:eastAsia="仿宋"/>
          <w:sz w:val="32"/>
          <w:szCs w:val="32"/>
        </w:rPr>
        <w:t>2204453.99</w:t>
      </w:r>
      <w:r>
        <w:rPr>
          <w:rFonts w:hint="eastAsia" w:ascii="仿宋" w:hAnsi="仿宋" w:eastAsia="仿宋"/>
          <w:sz w:val="32"/>
          <w:szCs w:val="32"/>
        </w:rPr>
        <w:t>元、存货</w:t>
      </w:r>
      <w:r>
        <w:rPr>
          <w:rFonts w:ascii="仿宋" w:hAnsi="仿宋" w:eastAsia="仿宋"/>
          <w:sz w:val="32"/>
          <w:szCs w:val="32"/>
        </w:rPr>
        <w:t>10720</w:t>
      </w:r>
      <w:r>
        <w:rPr>
          <w:rFonts w:hint="eastAsia" w:ascii="仿宋" w:hAnsi="仿宋" w:eastAsia="仿宋"/>
          <w:sz w:val="32"/>
          <w:szCs w:val="32"/>
        </w:rPr>
        <w:t>元、其他应收款1000元）、非流动资产</w:t>
      </w:r>
      <w:r>
        <w:rPr>
          <w:rFonts w:ascii="仿宋" w:hAnsi="仿宋" w:eastAsia="仿宋"/>
          <w:sz w:val="32"/>
          <w:szCs w:val="32"/>
        </w:rPr>
        <w:t>523622.18</w:t>
      </w:r>
      <w:r>
        <w:rPr>
          <w:rFonts w:hint="eastAsia" w:ascii="仿宋" w:hAnsi="仿宋" w:eastAsia="仿宋"/>
          <w:sz w:val="32"/>
          <w:szCs w:val="32"/>
        </w:rPr>
        <w:t>元。</w:t>
      </w:r>
    </w:p>
    <w:p>
      <w:pPr>
        <w:spacing w:line="520" w:lineRule="exact"/>
        <w:outlineLvl w:val="1"/>
        <w:rPr>
          <w:rFonts w:ascii="仿宋" w:hAnsi="仿宋" w:eastAsia="仿宋" w:cs="仿宋"/>
          <w:b/>
          <w:sz w:val="32"/>
          <w:szCs w:val="32"/>
        </w:rPr>
      </w:pPr>
      <w:bookmarkStart w:id="27" w:name="_Toc27361"/>
      <w:r>
        <w:rPr>
          <w:rFonts w:ascii="仿宋" w:hAnsi="仿宋" w:eastAsia="仿宋"/>
          <w:sz w:val="32"/>
          <w:szCs w:val="32"/>
        </w:rPr>
        <w:fldChar w:fldCharType="begin"/>
      </w:r>
      <w:r>
        <w:rPr>
          <w:rFonts w:ascii="仿宋" w:hAnsi="仿宋" w:eastAsia="仿宋"/>
          <w:sz w:val="32"/>
          <w:szCs w:val="32"/>
        </w:rPr>
        <w:instrText xml:space="preserve"> HYPERLINK \l "_Toc123122494"</w:instrText>
      </w:r>
      <w:r>
        <w:rPr>
          <w:rFonts w:ascii="仿宋" w:hAnsi="仿宋" w:eastAsia="仿宋"/>
          <w:sz w:val="32"/>
          <w:szCs w:val="32"/>
        </w:rPr>
        <w:fldChar w:fldCharType="separate"/>
      </w:r>
      <w:r>
        <w:rPr>
          <w:rFonts w:hint="eastAsia" w:ascii="仿宋" w:hAnsi="仿宋" w:eastAsia="仿宋" w:cs="仿宋"/>
          <w:b/>
          <w:sz w:val="32"/>
          <w:szCs w:val="32"/>
        </w:rPr>
        <w:t xml:space="preserve">1.2 </w:t>
      </w:r>
      <w:r>
        <w:rPr>
          <w:rFonts w:ascii="仿宋" w:hAnsi="仿宋" w:eastAsia="仿宋" w:cs="仿宋"/>
          <w:b/>
          <w:sz w:val="32"/>
          <w:szCs w:val="32"/>
        </w:rPr>
        <w:t>工作任务</w:t>
      </w:r>
      <w:r>
        <w:rPr>
          <w:rFonts w:hint="eastAsia" w:ascii="仿宋" w:hAnsi="仿宋" w:eastAsia="仿宋" w:cs="仿宋"/>
          <w:b/>
          <w:sz w:val="32"/>
          <w:szCs w:val="32"/>
        </w:rPr>
        <w:t>及绩效目标</w:t>
      </w:r>
      <w:r>
        <w:rPr>
          <w:rFonts w:ascii="仿宋" w:hAnsi="仿宋" w:eastAsia="仿宋" w:cs="仿宋"/>
          <w:b/>
          <w:sz w:val="32"/>
          <w:szCs w:val="32"/>
        </w:rPr>
        <w:tab/>
      </w:r>
      <w:r>
        <w:rPr>
          <w:rFonts w:ascii="仿宋" w:hAnsi="仿宋" w:eastAsia="仿宋" w:cs="仿宋"/>
          <w:b/>
          <w:sz w:val="32"/>
          <w:szCs w:val="32"/>
        </w:rPr>
        <w:fldChar w:fldCharType="end"/>
      </w:r>
      <w:bookmarkEnd w:id="27"/>
    </w:p>
    <w:p>
      <w:pPr>
        <w:spacing w:line="540" w:lineRule="exact"/>
        <w:ind w:firstLine="640" w:firstLineChars="200"/>
        <w:rPr>
          <w:rFonts w:ascii="仿宋" w:hAnsi="仿宋" w:eastAsia="仿宋"/>
          <w:sz w:val="32"/>
          <w:szCs w:val="32"/>
        </w:rPr>
      </w:pPr>
      <w:r>
        <w:rPr>
          <w:rFonts w:hint="eastAsia" w:ascii="仿宋" w:hAnsi="仿宋" w:eastAsia="仿宋"/>
          <w:sz w:val="32"/>
          <w:szCs w:val="32"/>
        </w:rPr>
        <w:t>在上级部门的指导下，认真贯彻“预防为主、防控结合”的工作方针，进一步加大重点传染病、地方病慢性病防控力度，加强健康教育工作的宣传，提高疾控能力建设，稳步推进免疫规划工作的开展，紧紧围绕疾病控制、健康促进及卫生应急。以乡镇为单位适龄儿童国家免疫规划疫苗接种率大于等于90%；开展艾滋病培训次数大于等于1次；公共卫生应急物资采购成本小于等于100万元；及时处置传染病疫情，未发生因防控不力导致的甲乙类传染病暴发及突发公共卫生事件；艾滋病患者管理率、结核病患者管理率大于等于90%。</w:t>
      </w:r>
    </w:p>
    <w:p>
      <w:pPr>
        <w:spacing w:line="540" w:lineRule="exact"/>
        <w:outlineLvl w:val="1"/>
        <w:rPr>
          <w:rFonts w:ascii="仿宋" w:hAnsi="仿宋" w:eastAsia="仿宋" w:cs="仿宋"/>
          <w:b/>
          <w:sz w:val="32"/>
          <w:szCs w:val="32"/>
        </w:rPr>
      </w:pPr>
      <w:bookmarkStart w:id="28" w:name="_Toc46"/>
      <w:r>
        <w:rPr>
          <w:rFonts w:hint="eastAsia" w:ascii="仿宋" w:hAnsi="仿宋" w:eastAsia="仿宋" w:cs="仿宋"/>
          <w:b/>
          <w:sz w:val="32"/>
          <w:szCs w:val="32"/>
        </w:rPr>
        <w:t>1.3</w:t>
      </w:r>
      <w:r>
        <w:rPr>
          <w:rFonts w:ascii="仿宋" w:hAnsi="仿宋" w:eastAsia="仿宋" w:cs="仿宋"/>
          <w:b/>
          <w:sz w:val="32"/>
          <w:szCs w:val="32"/>
        </w:rPr>
        <w:t>预算及执行情况</w:t>
      </w:r>
      <w:bookmarkEnd w:id="28"/>
    </w:p>
    <w:p>
      <w:pPr>
        <w:spacing w:line="540" w:lineRule="exact"/>
        <w:ind w:firstLine="643" w:firstLineChars="200"/>
        <w:jc w:val="left"/>
        <w:rPr>
          <w:rFonts w:ascii="仿宋" w:hAnsi="仿宋" w:eastAsia="仿宋"/>
          <w:sz w:val="32"/>
          <w:szCs w:val="32"/>
        </w:rPr>
      </w:pPr>
      <w:r>
        <w:rPr>
          <w:rFonts w:hint="eastAsia" w:ascii="仿宋" w:hAnsi="仿宋" w:eastAsia="仿宋"/>
          <w:b/>
          <w:sz w:val="32"/>
          <w:szCs w:val="32"/>
        </w:rPr>
        <w:t>年度单位预算情况</w:t>
      </w: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2年年初预算收入总计867.42万元，全部为一般公共预算拨款收入。年初预算支出867.42万元，其中：基本支出309.03万元，项目支出558.39万元。</w:t>
      </w:r>
    </w:p>
    <w:p>
      <w:pPr>
        <w:spacing w:line="540" w:lineRule="exact"/>
        <w:ind w:firstLine="619" w:firstLineChars="200"/>
        <w:jc w:val="left"/>
        <w:rPr>
          <w:rFonts w:ascii="仿宋" w:hAnsi="仿宋" w:eastAsia="仿宋"/>
          <w:sz w:val="32"/>
          <w:szCs w:val="32"/>
        </w:rPr>
      </w:pPr>
      <w:r>
        <w:rPr>
          <w:rFonts w:hint="eastAsia" w:ascii="仿宋" w:hAnsi="仿宋" w:eastAsia="仿宋"/>
          <w:b/>
          <w:spacing w:val="-6"/>
          <w:sz w:val="32"/>
          <w:szCs w:val="32"/>
        </w:rPr>
        <w:t>年度单位预算执行情况</w:t>
      </w:r>
      <w:r>
        <w:rPr>
          <w:rFonts w:hint="eastAsia" w:ascii="仿宋" w:hAnsi="仿宋" w:eastAsia="仿宋"/>
          <w:spacing w:val="-6"/>
          <w:sz w:val="32"/>
          <w:szCs w:val="32"/>
        </w:rPr>
        <w:t>—2022年度决算收入总额</w:t>
      </w:r>
      <w:r>
        <w:rPr>
          <w:rFonts w:hint="eastAsia" w:ascii="仿宋" w:hAnsi="仿宋" w:eastAsia="仿宋"/>
          <w:sz w:val="32"/>
          <w:szCs w:val="32"/>
        </w:rPr>
        <w:t>782.54万元，其中：本年一般公共预算财政拨款收入782.54万元。</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sz w:val="32"/>
          <w:szCs w:val="32"/>
        </w:rPr>
        <w:t>2022年度决算支出782.54万元，其中：</w:t>
      </w:r>
      <w:r>
        <w:rPr>
          <w:rFonts w:ascii="仿宋" w:hAnsi="仿宋" w:eastAsia="仿宋"/>
          <w:sz w:val="32"/>
          <w:szCs w:val="32"/>
        </w:rPr>
        <w:fldChar w:fldCharType="begin"/>
      </w:r>
      <w:r>
        <w:rPr>
          <w:rFonts w:hint="eastAsia" w:ascii="仿宋" w:hAnsi="仿宋" w:eastAsia="仿宋"/>
          <w:sz w:val="32"/>
          <w:szCs w:val="32"/>
        </w:rPr>
        <w:instrText xml:space="preserve">= 1 \* GB3</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按支出性质分类：基本支出306.45万元，项目支出476.09万元；</w:t>
      </w:r>
      <w:r>
        <w:rPr>
          <w:rFonts w:ascii="仿宋" w:hAnsi="仿宋" w:eastAsia="仿宋"/>
          <w:sz w:val="32"/>
          <w:szCs w:val="32"/>
        </w:rPr>
        <w:fldChar w:fldCharType="begin"/>
      </w:r>
      <w:r>
        <w:rPr>
          <w:rFonts w:hint="eastAsia" w:ascii="仿宋" w:hAnsi="仿宋" w:eastAsia="仿宋"/>
          <w:sz w:val="32"/>
          <w:szCs w:val="32"/>
        </w:rPr>
        <w:instrText xml:space="preserve">= 2 \* GB3</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基本支出按经济分类：工资福利支出293.99万元、商品和服务支出12.47万元。</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sz w:val="32"/>
          <w:szCs w:val="32"/>
        </w:rPr>
        <w:t>基本支出中人员经费支出293.99万元，占基本支出的95.93%，日常公用经费支出12.47万元，占基本支出的4.07%。</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b/>
          <w:sz w:val="32"/>
          <w:szCs w:val="32"/>
        </w:rPr>
        <w:t>预算完成率</w:t>
      </w:r>
      <w:r>
        <w:rPr>
          <w:rFonts w:hint="eastAsia" w:ascii="仿宋" w:hAnsi="仿宋" w:eastAsia="仿宋"/>
          <w:sz w:val="32"/>
          <w:szCs w:val="32"/>
        </w:rPr>
        <w:t>=（预算完成数÷预算调整数）×100%=（782.54万元÷867.42万元）×100%=90.21%。</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b/>
          <w:sz w:val="32"/>
          <w:szCs w:val="32"/>
        </w:rPr>
        <w:t>公用经费控制情况</w:t>
      </w:r>
      <w:r>
        <w:rPr>
          <w:rFonts w:hint="eastAsia" w:ascii="仿宋" w:hAnsi="仿宋" w:eastAsia="仿宋"/>
          <w:sz w:val="32"/>
          <w:szCs w:val="32"/>
        </w:rPr>
        <w:t>—蓉江新区疾控中心2022年公用经费预算数34.11万元，当年公用经费实际支出12.47万元。</w:t>
      </w:r>
      <w:r>
        <w:rPr>
          <w:rFonts w:hint="eastAsia" w:ascii="仿宋" w:hAnsi="仿宋" w:eastAsia="仿宋"/>
          <w:b/>
          <w:sz w:val="32"/>
          <w:szCs w:val="32"/>
        </w:rPr>
        <w:t>公用经费控制率</w:t>
      </w:r>
      <w:r>
        <w:rPr>
          <w:rFonts w:hint="eastAsia" w:ascii="仿宋" w:hAnsi="仿宋" w:eastAsia="仿宋"/>
          <w:sz w:val="32"/>
          <w:szCs w:val="32"/>
        </w:rPr>
        <w:t>=（实际支出公用经费总额÷预算安排公用经费总额）×100%=（12.47万元÷34.11万元）×100%=36.56%。</w:t>
      </w:r>
    </w:p>
    <w:p>
      <w:pPr>
        <w:widowControl/>
        <w:shd w:val="clear" w:color="auto" w:fill="FFFFFF"/>
        <w:spacing w:line="540" w:lineRule="exact"/>
        <w:ind w:firstLine="482"/>
        <w:jc w:val="left"/>
        <w:textAlignment w:val="baseline"/>
        <w:rPr>
          <w:rFonts w:ascii="仿宋" w:hAnsi="仿宋" w:eastAsia="仿宋"/>
          <w:sz w:val="32"/>
          <w:szCs w:val="32"/>
        </w:rPr>
      </w:pPr>
      <w:r>
        <w:rPr>
          <w:rFonts w:hint="eastAsia" w:ascii="仿宋" w:hAnsi="仿宋" w:eastAsia="仿宋"/>
          <w:b/>
          <w:sz w:val="32"/>
          <w:szCs w:val="32"/>
        </w:rPr>
        <w:t>三公经费控制情况</w:t>
      </w:r>
      <w:r>
        <w:rPr>
          <w:rFonts w:hint="eastAsia" w:ascii="仿宋" w:hAnsi="仿宋" w:eastAsia="仿宋"/>
          <w:sz w:val="32"/>
          <w:szCs w:val="32"/>
        </w:rPr>
        <w:t>—蓉江新区疾控中心2022年三公经费预算数4.5万元，当年三公经费实际支出2.06万元。</w:t>
      </w:r>
      <w:r>
        <w:rPr>
          <w:rFonts w:hint="eastAsia" w:ascii="仿宋" w:hAnsi="仿宋" w:eastAsia="仿宋"/>
          <w:b/>
          <w:sz w:val="32"/>
          <w:szCs w:val="32"/>
        </w:rPr>
        <w:t>三公经费控制率</w:t>
      </w:r>
      <w:r>
        <w:rPr>
          <w:rFonts w:hint="eastAsia" w:ascii="仿宋" w:hAnsi="仿宋" w:eastAsia="仿宋"/>
          <w:sz w:val="32"/>
          <w:szCs w:val="32"/>
        </w:rPr>
        <w:t>=（“三公经费”实际支出数÷“三公经费”预算安排数）×100%=（2.06万元÷4.5万元）×100%=45.78%。</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b/>
          <w:sz w:val="32"/>
          <w:szCs w:val="32"/>
        </w:rPr>
        <w:t>政府采购预算执行情况</w:t>
      </w:r>
      <w:r>
        <w:rPr>
          <w:rFonts w:hint="eastAsia" w:ascii="仿宋" w:hAnsi="仿宋" w:eastAsia="仿宋"/>
          <w:sz w:val="32"/>
          <w:szCs w:val="32"/>
        </w:rPr>
        <w:t>—蓉江新区疾控中心2022年政府采购预算数79.42万元，当年实际政府采购支出14.53万元。</w:t>
      </w:r>
      <w:r>
        <w:rPr>
          <w:rFonts w:hint="eastAsia" w:ascii="仿宋" w:hAnsi="仿宋" w:eastAsia="仿宋"/>
          <w:b/>
          <w:sz w:val="32"/>
          <w:szCs w:val="32"/>
        </w:rPr>
        <w:t>政府采购执行率</w:t>
      </w:r>
      <w:r>
        <w:rPr>
          <w:rFonts w:hint="eastAsia" w:ascii="仿宋" w:hAnsi="仿宋" w:eastAsia="仿宋"/>
          <w:sz w:val="32"/>
          <w:szCs w:val="32"/>
        </w:rPr>
        <w:t>=（实际政府采购金额÷政府采购预算数）×100%=（14.53万元÷79.42万元）×100%=18.30%。</w:t>
      </w:r>
    </w:p>
    <w:p>
      <w:pPr>
        <w:spacing w:line="520" w:lineRule="exact"/>
        <w:outlineLvl w:val="1"/>
        <w:rPr>
          <w:rFonts w:ascii="仿宋" w:hAnsi="仿宋" w:eastAsia="仿宋" w:cs="仿宋"/>
          <w:b/>
          <w:sz w:val="32"/>
          <w:szCs w:val="32"/>
        </w:rPr>
      </w:pPr>
      <w:bookmarkStart w:id="29" w:name="_Toc18924"/>
      <w:r>
        <w:rPr>
          <w:rFonts w:ascii="仿宋" w:hAnsi="仿宋" w:eastAsia="仿宋"/>
          <w:sz w:val="32"/>
          <w:szCs w:val="32"/>
        </w:rPr>
        <w:fldChar w:fldCharType="begin"/>
      </w:r>
      <w:r>
        <w:rPr>
          <w:rFonts w:ascii="仿宋" w:hAnsi="仿宋" w:eastAsia="仿宋"/>
          <w:sz w:val="32"/>
          <w:szCs w:val="32"/>
        </w:rPr>
        <w:instrText xml:space="preserve"> HYPERLINK \l "_Toc123122495"</w:instrText>
      </w:r>
      <w:r>
        <w:rPr>
          <w:rFonts w:ascii="仿宋" w:hAnsi="仿宋" w:eastAsia="仿宋"/>
          <w:sz w:val="32"/>
          <w:szCs w:val="32"/>
        </w:rPr>
        <w:fldChar w:fldCharType="separate"/>
      </w:r>
      <w:r>
        <w:rPr>
          <w:rFonts w:hint="eastAsia" w:ascii="仿宋" w:hAnsi="仿宋" w:eastAsia="仿宋" w:cs="仿宋"/>
          <w:b/>
          <w:sz w:val="32"/>
          <w:szCs w:val="32"/>
        </w:rPr>
        <w:t>1.4履职完成情况</w:t>
      </w:r>
      <w:r>
        <w:rPr>
          <w:rFonts w:ascii="仿宋" w:hAnsi="仿宋" w:eastAsia="仿宋" w:cs="仿宋"/>
          <w:b/>
          <w:sz w:val="32"/>
          <w:szCs w:val="32"/>
        </w:rPr>
        <w:tab/>
      </w:r>
      <w:r>
        <w:rPr>
          <w:rFonts w:ascii="仿宋" w:hAnsi="仿宋" w:eastAsia="仿宋" w:cs="仿宋"/>
          <w:b/>
          <w:sz w:val="32"/>
          <w:szCs w:val="32"/>
        </w:rPr>
        <w:fldChar w:fldCharType="end"/>
      </w:r>
      <w:bookmarkEnd w:id="29"/>
    </w:p>
    <w:p>
      <w:pPr>
        <w:spacing w:line="52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多次组织培训演练，完成传染病培训次数，加强对重点场所技术指导。开展宣传日活动5次，完善近效期物资调换等制度，保障3个月防护物资储备需求。现管理HIV病毒感染者抗病毒治疗率为92.1%，随访率为100%。现管理结核病患者随访管理率100%。按时开展登革热病媒生物监测工作，完成病媒生物监测分析报告等工作。</w:t>
      </w:r>
    </w:p>
    <w:p>
      <w:pPr>
        <w:pStyle w:val="2"/>
      </w:pPr>
    </w:p>
    <w:p>
      <w:pPr>
        <w:spacing w:line="520" w:lineRule="exact"/>
        <w:outlineLvl w:val="0"/>
        <w:rPr>
          <w:rFonts w:ascii="仿宋" w:hAnsi="仿宋" w:eastAsia="仿宋" w:cs="仿宋"/>
          <w:b/>
          <w:sz w:val="32"/>
          <w:szCs w:val="32"/>
        </w:rPr>
      </w:pPr>
      <w:bookmarkStart w:id="30" w:name="_Toc7841"/>
      <w:bookmarkStart w:id="31" w:name="_Toc6232"/>
      <w:r>
        <w:rPr>
          <w:rFonts w:ascii="仿宋" w:hAnsi="仿宋" w:eastAsia="仿宋"/>
          <w:sz w:val="32"/>
          <w:szCs w:val="32"/>
        </w:rPr>
        <w:fldChar w:fldCharType="begin"/>
      </w:r>
      <w:r>
        <w:rPr>
          <w:rFonts w:ascii="仿宋" w:hAnsi="仿宋" w:eastAsia="仿宋"/>
          <w:sz w:val="32"/>
          <w:szCs w:val="32"/>
        </w:rPr>
        <w:instrText xml:space="preserve"> HYPERLINK \l "_Toc123122497"</w:instrText>
      </w:r>
      <w:r>
        <w:rPr>
          <w:rFonts w:ascii="仿宋" w:hAnsi="仿宋" w:eastAsia="仿宋"/>
          <w:sz w:val="32"/>
          <w:szCs w:val="32"/>
        </w:rPr>
        <w:fldChar w:fldCharType="separate"/>
      </w:r>
      <w:r>
        <w:rPr>
          <w:rFonts w:hint="eastAsia" w:ascii="仿宋" w:hAnsi="仿宋" w:eastAsia="仿宋"/>
          <w:sz w:val="32"/>
          <w:szCs w:val="32"/>
          <w:lang w:val="en-US" w:eastAsia="zh-CN"/>
        </w:rPr>
        <w:t>二</w:t>
      </w:r>
      <w:r>
        <w:rPr>
          <w:rFonts w:ascii="仿宋" w:hAnsi="仿宋" w:eastAsia="仿宋" w:cs="仿宋"/>
          <w:b/>
          <w:sz w:val="32"/>
          <w:szCs w:val="32"/>
        </w:rPr>
        <w:t>、</w:t>
      </w:r>
      <w:r>
        <w:rPr>
          <w:rFonts w:hint="eastAsia" w:ascii="仿宋" w:hAnsi="仿宋" w:eastAsia="仿宋" w:cs="仿宋"/>
          <w:b/>
          <w:sz w:val="32"/>
          <w:szCs w:val="32"/>
        </w:rPr>
        <w:t>绩效</w:t>
      </w:r>
      <w:r>
        <w:rPr>
          <w:rFonts w:ascii="仿宋" w:hAnsi="仿宋" w:eastAsia="仿宋" w:cs="仿宋"/>
          <w:b/>
          <w:sz w:val="32"/>
          <w:szCs w:val="32"/>
        </w:rPr>
        <w:t>评价工作情况</w:t>
      </w:r>
      <w:r>
        <w:rPr>
          <w:rFonts w:ascii="仿宋" w:hAnsi="仿宋" w:eastAsia="仿宋" w:cs="仿宋"/>
          <w:b/>
          <w:sz w:val="32"/>
          <w:szCs w:val="32"/>
        </w:rPr>
        <w:tab/>
      </w:r>
      <w:r>
        <w:rPr>
          <w:rFonts w:ascii="仿宋" w:hAnsi="仿宋" w:eastAsia="仿宋" w:cs="仿宋"/>
          <w:b/>
          <w:sz w:val="32"/>
          <w:szCs w:val="32"/>
        </w:rPr>
        <w:fldChar w:fldCharType="end"/>
      </w:r>
      <w:bookmarkEnd w:id="30"/>
      <w:bookmarkEnd w:id="31"/>
    </w:p>
    <w:p>
      <w:pPr>
        <w:spacing w:line="520" w:lineRule="exact"/>
        <w:outlineLvl w:val="1"/>
        <w:rPr>
          <w:rFonts w:ascii="仿宋" w:hAnsi="仿宋" w:eastAsia="仿宋" w:cs="仿宋"/>
          <w:b/>
          <w:sz w:val="32"/>
          <w:szCs w:val="32"/>
        </w:rPr>
      </w:pPr>
      <w:bookmarkStart w:id="32" w:name="_Toc9575"/>
      <w:bookmarkStart w:id="33" w:name="_Toc22929"/>
      <w:r>
        <w:rPr>
          <w:rFonts w:hint="eastAsia" w:ascii="仿宋" w:hAnsi="仿宋" w:eastAsia="仿宋" w:cs="仿宋"/>
          <w:b/>
          <w:sz w:val="32"/>
          <w:szCs w:val="32"/>
        </w:rPr>
        <w:t>2.1绩效评价目的及评价依据</w:t>
      </w:r>
      <w:bookmarkEnd w:id="32"/>
      <w:bookmarkEnd w:id="33"/>
    </w:p>
    <w:p>
      <w:pPr>
        <w:spacing w:line="520" w:lineRule="exact"/>
        <w:outlineLvl w:val="2"/>
        <w:rPr>
          <w:rFonts w:ascii="仿宋" w:hAnsi="仿宋" w:eastAsia="仿宋"/>
          <w:sz w:val="32"/>
          <w:szCs w:val="32"/>
        </w:rPr>
      </w:pPr>
      <w:bookmarkStart w:id="34" w:name="_Toc30680"/>
      <w:bookmarkStart w:id="35" w:name="_Toc12424"/>
      <w:r>
        <w:rPr>
          <w:rFonts w:hint="eastAsia" w:ascii="仿宋" w:hAnsi="仿宋" w:eastAsia="仿宋"/>
          <w:b/>
          <w:sz w:val="32"/>
          <w:szCs w:val="32"/>
        </w:rPr>
        <w:t>2.1.1评价目的</w:t>
      </w:r>
      <w:bookmarkEnd w:id="34"/>
      <w:bookmarkEnd w:id="35"/>
    </w:p>
    <w:p>
      <w:pPr>
        <w:pStyle w:val="2"/>
        <w:spacing w:line="520" w:lineRule="exact"/>
        <w:ind w:firstLine="640"/>
        <w:rPr>
          <w:rFonts w:ascii="仿宋" w:hAnsi="仿宋" w:eastAsia="仿宋"/>
          <w:sz w:val="32"/>
          <w:szCs w:val="32"/>
        </w:rPr>
      </w:pPr>
      <w:r>
        <w:rPr>
          <w:rFonts w:hint="eastAsia" w:ascii="仿宋" w:hAnsi="仿宋" w:eastAsia="仿宋"/>
          <w:sz w:val="32"/>
          <w:szCs w:val="32"/>
        </w:rPr>
        <w:t xml:space="preserve">通过本次绩效评价，跟踪蓉江新区疾控中心部门整体支出的情况，评价部门在使用预算资金履行自身职能过程中，预算编制的完整性和准确性、资金管理的规范性、财政资金投入运作后带来的产出与效果等情况，并总结取得的工作成果及存在问题，提高财政资金的使用质量与效率。 </w:t>
      </w:r>
    </w:p>
    <w:p>
      <w:pPr>
        <w:spacing w:line="520" w:lineRule="exact"/>
        <w:outlineLvl w:val="2"/>
        <w:rPr>
          <w:rFonts w:ascii="仿宋" w:hAnsi="仿宋" w:eastAsia="仿宋"/>
          <w:b/>
          <w:sz w:val="32"/>
          <w:szCs w:val="32"/>
        </w:rPr>
      </w:pPr>
      <w:bookmarkStart w:id="36" w:name="_Toc17593"/>
      <w:bookmarkStart w:id="37" w:name="_Toc8417"/>
      <w:r>
        <w:rPr>
          <w:rFonts w:hint="eastAsia" w:ascii="仿宋" w:hAnsi="仿宋" w:eastAsia="仿宋"/>
          <w:b/>
          <w:sz w:val="32"/>
          <w:szCs w:val="32"/>
        </w:rPr>
        <w:t>2.1.2评价依据</w:t>
      </w:r>
      <w:bookmarkEnd w:id="36"/>
      <w:bookmarkEnd w:id="37"/>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·《中共中央国务院关于全面实施预算绩效管理的意见》（中发〔2018〕</w:t>
      </w:r>
      <w:r>
        <w:rPr>
          <w:rFonts w:ascii="仿宋" w:hAnsi="仿宋" w:eastAsia="仿宋"/>
          <w:sz w:val="32"/>
          <w:szCs w:val="32"/>
        </w:rPr>
        <w:t>34</w:t>
      </w:r>
      <w:r>
        <w:rPr>
          <w:rFonts w:hint="eastAsia" w:ascii="仿宋" w:hAnsi="仿宋" w:eastAsia="仿宋"/>
          <w:sz w:val="32"/>
          <w:szCs w:val="32"/>
        </w:rPr>
        <w:t>号）；</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·《中共江西省委江西省人民政府关于全面实施预算绩效管理的实施意见》（赣发〔2019〕</w:t>
      </w:r>
      <w:r>
        <w:rPr>
          <w:rFonts w:ascii="仿宋" w:hAnsi="仿宋" w:eastAsia="仿宋"/>
          <w:sz w:val="32"/>
          <w:szCs w:val="32"/>
        </w:rPr>
        <w:t>8</w:t>
      </w:r>
      <w:r>
        <w:rPr>
          <w:rFonts w:hint="eastAsia" w:ascii="仿宋" w:hAnsi="仿宋" w:eastAsia="仿宋"/>
          <w:sz w:val="32"/>
          <w:szCs w:val="32"/>
        </w:rPr>
        <w:t>号）；</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·《中共赣州市委赣州市人民政府关于全面实施预算绩效管理的实施意见》（赣市发〔2019〕12号</w:t>
      </w:r>
      <w:r>
        <w:rPr>
          <w:rFonts w:ascii="仿宋" w:hAnsi="仿宋" w:eastAsia="仿宋"/>
          <w:sz w:val="32"/>
          <w:szCs w:val="32"/>
        </w:rPr>
        <w:t>）</w:t>
      </w:r>
      <w:r>
        <w:rPr>
          <w:rFonts w:hint="eastAsia" w:ascii="仿宋" w:hAnsi="仿宋" w:eastAsia="仿宋"/>
          <w:sz w:val="32"/>
          <w:szCs w:val="32"/>
        </w:rPr>
        <w:t>；</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·《赣州市预算绩效管理暂行办法》；</w:t>
      </w:r>
    </w:p>
    <w:p>
      <w:pPr>
        <w:widowControl/>
        <w:shd w:val="clear" w:color="auto" w:fill="FFFFFF"/>
        <w:spacing w:line="520" w:lineRule="exact"/>
        <w:ind w:firstLine="482"/>
        <w:jc w:val="left"/>
        <w:textAlignment w:val="baseline"/>
        <w:rPr>
          <w:rFonts w:ascii="仿宋" w:hAnsi="仿宋" w:eastAsia="仿宋"/>
          <w:sz w:val="32"/>
          <w:szCs w:val="32"/>
        </w:rPr>
      </w:pPr>
      <w:r>
        <w:rPr>
          <w:rFonts w:hint="eastAsia" w:ascii="仿宋" w:hAnsi="仿宋" w:eastAsia="仿宋"/>
          <w:sz w:val="32"/>
          <w:szCs w:val="32"/>
        </w:rPr>
        <w:t>·赣州蓉江新区财政局《赣州蓉江新区财政局关于开展2023年度区本级预算项目和部门整体支出绩效运行评价工作的通知》（赣蓉财预字〔2023〕10号）；</w:t>
      </w:r>
    </w:p>
    <w:p>
      <w:pPr>
        <w:widowControl/>
        <w:shd w:val="clear" w:color="auto" w:fill="FFFFFF"/>
        <w:spacing w:line="520" w:lineRule="exact"/>
        <w:ind w:firstLine="482"/>
        <w:jc w:val="left"/>
        <w:textAlignment w:val="baseline"/>
        <w:rPr>
          <w:rFonts w:ascii="仿宋" w:hAnsi="仿宋" w:eastAsia="仿宋" w:cs="仿宋"/>
          <w:b/>
          <w:sz w:val="32"/>
          <w:szCs w:val="32"/>
        </w:rPr>
      </w:pPr>
      <w:r>
        <w:rPr>
          <w:rFonts w:hint="eastAsia" w:ascii="仿宋" w:hAnsi="仿宋" w:eastAsia="仿宋"/>
          <w:sz w:val="32"/>
          <w:szCs w:val="32"/>
        </w:rPr>
        <w:t>·《赣州蓉江新区财政局关于做好2023年度绩效运行评价工作的通知》（赣蓉财预字〔2023〕11号）。</w:t>
      </w:r>
    </w:p>
    <w:p>
      <w:pPr>
        <w:spacing w:line="520" w:lineRule="exact"/>
        <w:outlineLvl w:val="1"/>
        <w:rPr>
          <w:rFonts w:ascii="仿宋" w:hAnsi="仿宋" w:eastAsia="仿宋" w:cs="仿宋"/>
          <w:b/>
          <w:sz w:val="32"/>
          <w:szCs w:val="32"/>
        </w:rPr>
      </w:pPr>
      <w:bookmarkStart w:id="38" w:name="_Toc616"/>
      <w:bookmarkStart w:id="39" w:name="_Toc27548"/>
      <w:r>
        <w:rPr>
          <w:rFonts w:hint="eastAsia" w:ascii="仿宋" w:hAnsi="仿宋" w:eastAsia="仿宋" w:cs="仿宋"/>
          <w:b/>
          <w:sz w:val="32"/>
          <w:szCs w:val="32"/>
        </w:rPr>
        <w:t>2.2绩效评价工作方案制定过程</w:t>
      </w:r>
      <w:bookmarkEnd w:id="38"/>
      <w:bookmarkEnd w:id="39"/>
    </w:p>
    <w:p>
      <w:pPr>
        <w:spacing w:line="520" w:lineRule="exact"/>
        <w:outlineLvl w:val="2"/>
        <w:rPr>
          <w:rFonts w:ascii="仿宋" w:hAnsi="仿宋" w:eastAsia="仿宋" w:cs="仿宋"/>
          <w:b/>
          <w:sz w:val="32"/>
          <w:szCs w:val="32"/>
        </w:rPr>
      </w:pPr>
      <w:bookmarkStart w:id="40" w:name="_Toc16742"/>
      <w:bookmarkStart w:id="41" w:name="_Toc32767"/>
      <w:r>
        <w:rPr>
          <w:rFonts w:hint="eastAsia" w:ascii="仿宋" w:hAnsi="仿宋" w:eastAsia="仿宋" w:cs="仿宋"/>
          <w:b/>
          <w:sz w:val="32"/>
          <w:szCs w:val="32"/>
        </w:rPr>
        <w:t>2.2.1前期调研</w:t>
      </w:r>
      <w:bookmarkEnd w:id="40"/>
      <w:bookmarkEnd w:id="41"/>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在受托对部门整体支出开展绩效评价后，绩效评价小组及时与蓉江新区疾控中心相关负责人进行沟通，了解基本情况：包括部门概况、预算及执行情况、年度工作计划、年度工作总结等相关文件资料。 </w:t>
      </w:r>
    </w:p>
    <w:p>
      <w:pPr>
        <w:spacing w:line="520" w:lineRule="exact"/>
        <w:outlineLvl w:val="2"/>
        <w:rPr>
          <w:rFonts w:ascii="仿宋" w:hAnsi="仿宋" w:eastAsia="仿宋"/>
          <w:b/>
          <w:sz w:val="32"/>
          <w:szCs w:val="32"/>
        </w:rPr>
      </w:pPr>
      <w:bookmarkStart w:id="42" w:name="_Toc19806"/>
      <w:bookmarkStart w:id="43" w:name="_Toc17896"/>
      <w:r>
        <w:rPr>
          <w:rFonts w:hint="eastAsia" w:ascii="仿宋" w:hAnsi="仿宋" w:eastAsia="仿宋"/>
          <w:b/>
          <w:sz w:val="32"/>
          <w:szCs w:val="32"/>
        </w:rPr>
        <w:t>2.2.2研究文件</w:t>
      </w:r>
      <w:bookmarkEnd w:id="42"/>
      <w:bookmarkEnd w:id="43"/>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对部门概况初步了解后，组织绩效评价小组成员对收集到的文件资料进行研读，并查阅与部门密切相关的规章制度、文件规定，力求获取对部门全方位的了解。根据赣州蓉江新区财政局的要求，结合部门特点，形成绩效评价的总体思路。 </w:t>
      </w:r>
    </w:p>
    <w:p>
      <w:pPr>
        <w:spacing w:line="520" w:lineRule="exact"/>
        <w:outlineLvl w:val="2"/>
        <w:rPr>
          <w:rFonts w:ascii="仿宋" w:hAnsi="仿宋" w:eastAsia="仿宋"/>
          <w:b/>
          <w:sz w:val="32"/>
          <w:szCs w:val="32"/>
        </w:rPr>
      </w:pPr>
      <w:bookmarkStart w:id="44" w:name="_Toc28503"/>
      <w:bookmarkStart w:id="45" w:name="_Toc5276"/>
      <w:r>
        <w:rPr>
          <w:rFonts w:hint="eastAsia" w:ascii="仿宋" w:hAnsi="仿宋" w:eastAsia="仿宋"/>
          <w:b/>
          <w:sz w:val="32"/>
          <w:szCs w:val="32"/>
        </w:rPr>
        <w:t>2.2.3绩效评价指标体系及工作方案设计</w:t>
      </w:r>
      <w:bookmarkEnd w:id="44"/>
      <w:bookmarkEnd w:id="45"/>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根据前期调研结果和对相关文件资料的研读，结合部门年度工作计划内容，形成方案初稿，并就方案的可行性、合理性向部门单位征求意见，根据反馈意见修改后形成最终的项目绩效评价方案。 </w:t>
      </w:r>
    </w:p>
    <w:p>
      <w:pPr>
        <w:spacing w:line="520" w:lineRule="exact"/>
        <w:outlineLvl w:val="1"/>
        <w:rPr>
          <w:rFonts w:ascii="仿宋" w:hAnsi="仿宋" w:eastAsia="仿宋"/>
          <w:b/>
          <w:sz w:val="32"/>
          <w:szCs w:val="32"/>
        </w:rPr>
      </w:pPr>
      <w:bookmarkStart w:id="46" w:name="_Toc1026"/>
      <w:bookmarkStart w:id="47" w:name="_Toc19724"/>
      <w:r>
        <w:rPr>
          <w:rFonts w:hint="eastAsia" w:ascii="仿宋" w:hAnsi="仿宋" w:eastAsia="仿宋"/>
          <w:b/>
          <w:sz w:val="32"/>
          <w:szCs w:val="32"/>
        </w:rPr>
        <w:t>2.3绩效评价原则、评价方法等</w:t>
      </w:r>
      <w:bookmarkEnd w:id="46"/>
      <w:bookmarkEnd w:id="47"/>
    </w:p>
    <w:p>
      <w:pPr>
        <w:spacing w:line="520" w:lineRule="exact"/>
        <w:outlineLvl w:val="2"/>
        <w:rPr>
          <w:rFonts w:ascii="仿宋" w:hAnsi="仿宋" w:eastAsia="仿宋"/>
          <w:b/>
          <w:sz w:val="32"/>
          <w:szCs w:val="32"/>
        </w:rPr>
      </w:pPr>
      <w:bookmarkStart w:id="48" w:name="_Toc11491"/>
      <w:bookmarkStart w:id="49" w:name="_Toc6360"/>
      <w:r>
        <w:rPr>
          <w:rFonts w:hint="eastAsia" w:ascii="仿宋" w:hAnsi="仿宋" w:eastAsia="仿宋"/>
          <w:b/>
          <w:sz w:val="32"/>
          <w:szCs w:val="32"/>
        </w:rPr>
        <w:t>2.3.1绩效评价原则</w:t>
      </w:r>
      <w:bookmarkEnd w:id="48"/>
      <w:bookmarkEnd w:id="49"/>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（1）科学规范。绩效评价注重财政支出的经济性、效率性和有效性，严格执行规定的程序，采用定量与定性分析相结合的方法。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（2）公正公开。绩效评价客观、公正，标准统一、资料可靠，依法公开并接受监督。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（3）</w:t>
      </w:r>
      <w:r>
        <w:rPr>
          <w:rFonts w:hint="eastAsia" w:ascii="仿宋" w:hAnsi="仿宋" w:eastAsia="仿宋"/>
          <w:spacing w:val="-2"/>
          <w:sz w:val="32"/>
          <w:szCs w:val="32"/>
        </w:rPr>
        <w:t>绩效相关。绩效评价针对具体支出及其产出绩效进行，评价结果清晰反映支出和产出绩效之间的紧密对应关系。</w:t>
      </w:r>
      <w:r>
        <w:rPr>
          <w:rFonts w:hint="eastAsia" w:ascii="仿宋" w:hAnsi="仿宋" w:eastAsia="仿宋"/>
          <w:sz w:val="32"/>
          <w:szCs w:val="32"/>
        </w:rPr>
        <w:t xml:space="preserve"> </w:t>
      </w:r>
    </w:p>
    <w:p>
      <w:pPr>
        <w:spacing w:line="520" w:lineRule="exact"/>
        <w:outlineLvl w:val="2"/>
        <w:rPr>
          <w:rFonts w:ascii="仿宋" w:hAnsi="仿宋" w:eastAsia="仿宋"/>
          <w:b/>
          <w:sz w:val="32"/>
          <w:szCs w:val="32"/>
        </w:rPr>
      </w:pPr>
      <w:bookmarkStart w:id="50" w:name="_Toc14772"/>
      <w:bookmarkStart w:id="51" w:name="_Toc30978"/>
      <w:r>
        <w:rPr>
          <w:rFonts w:hint="eastAsia" w:ascii="仿宋" w:hAnsi="仿宋" w:eastAsia="仿宋"/>
          <w:b/>
          <w:sz w:val="32"/>
          <w:szCs w:val="32"/>
        </w:rPr>
        <w:t>2.3.2评价方法</w:t>
      </w:r>
      <w:bookmarkEnd w:id="50"/>
      <w:bookmarkEnd w:id="51"/>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本项目进行绩效评价时采用比较法等方法。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（1）比较法：充分运用部门预算资料、国家、赣州市发布的有关财政预算的各项法律规章制度，对比部门支出实际情况，找出差异与不足，对部门的各项绩效目标进行分析与评价。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（2）因素分析法：综合分析影响绩效目标实现、实施效果的内外因素，评价绩效目标实现程度。 </w:t>
      </w:r>
    </w:p>
    <w:p>
      <w:pPr>
        <w:pStyle w:val="20"/>
        <w:spacing w:line="520" w:lineRule="exact"/>
        <w:ind w:firstLine="640"/>
        <w:rPr>
          <w:rFonts w:ascii="仿宋" w:hAnsi="仿宋" w:eastAsia="仿宋"/>
          <w:sz w:val="32"/>
          <w:szCs w:val="32"/>
        </w:rPr>
      </w:pPr>
      <w:r>
        <w:rPr>
          <w:rFonts w:hint="eastAsia" w:ascii="仿宋" w:hAnsi="仿宋" w:eastAsia="仿宋"/>
          <w:sz w:val="32"/>
          <w:szCs w:val="32"/>
        </w:rPr>
        <w:t>（3）公众评判法：</w:t>
      </w:r>
      <w:r>
        <w:rPr>
          <w:rFonts w:ascii="仿宋" w:hAnsi="仿宋" w:eastAsia="仿宋"/>
          <w:sz w:val="32"/>
          <w:szCs w:val="32"/>
        </w:rPr>
        <w:t>通过</w:t>
      </w:r>
      <w:r>
        <w:rPr>
          <w:rFonts w:hint="eastAsia" w:ascii="仿宋" w:hAnsi="仿宋" w:eastAsia="仿宋"/>
          <w:sz w:val="32"/>
          <w:szCs w:val="32"/>
        </w:rPr>
        <w:t>对服务对象发布</w:t>
      </w:r>
      <w:r>
        <w:rPr>
          <w:rFonts w:ascii="仿宋" w:hAnsi="仿宋" w:eastAsia="仿宋"/>
          <w:sz w:val="32"/>
          <w:szCs w:val="32"/>
        </w:rPr>
        <w:t>公众问卷及抽样调查等对</w:t>
      </w:r>
      <w:r>
        <w:rPr>
          <w:rFonts w:hint="eastAsia" w:ascii="仿宋" w:hAnsi="仿宋" w:eastAsia="仿宋"/>
          <w:sz w:val="32"/>
          <w:szCs w:val="32"/>
        </w:rPr>
        <w:t>部门</w:t>
      </w:r>
      <w:r>
        <w:rPr>
          <w:rFonts w:ascii="仿宋" w:hAnsi="仿宋" w:eastAsia="仿宋"/>
          <w:sz w:val="32"/>
          <w:szCs w:val="32"/>
        </w:rPr>
        <w:t>支出效果进行评判，评价绩效目标实现程度</w:t>
      </w:r>
      <w:r>
        <w:rPr>
          <w:rFonts w:hint="eastAsia" w:ascii="仿宋" w:hAnsi="仿宋" w:eastAsia="仿宋"/>
          <w:sz w:val="32"/>
          <w:szCs w:val="32"/>
        </w:rPr>
        <w:t>和对象的满意度。</w:t>
      </w:r>
    </w:p>
    <w:p>
      <w:pPr>
        <w:pStyle w:val="20"/>
        <w:spacing w:line="520" w:lineRule="exact"/>
        <w:ind w:firstLine="640"/>
        <w:rPr>
          <w:rFonts w:ascii="仿宋" w:hAnsi="仿宋" w:eastAsia="仿宋"/>
          <w:sz w:val="32"/>
          <w:szCs w:val="32"/>
        </w:rPr>
      </w:pPr>
      <w:r>
        <w:rPr>
          <w:rFonts w:hint="eastAsia" w:ascii="仿宋" w:hAnsi="仿宋" w:eastAsia="仿宋"/>
          <w:sz w:val="32"/>
          <w:szCs w:val="32"/>
        </w:rPr>
        <w:t xml:space="preserve">（4）其他评价方法。 </w:t>
      </w:r>
    </w:p>
    <w:p>
      <w:pPr>
        <w:spacing w:line="520" w:lineRule="exact"/>
        <w:outlineLvl w:val="2"/>
        <w:rPr>
          <w:rFonts w:ascii="仿宋" w:hAnsi="仿宋" w:eastAsia="仿宋"/>
          <w:b/>
          <w:sz w:val="32"/>
          <w:szCs w:val="32"/>
        </w:rPr>
      </w:pPr>
      <w:bookmarkStart w:id="52" w:name="_Toc30449"/>
      <w:bookmarkStart w:id="53" w:name="_Toc30416"/>
      <w:r>
        <w:rPr>
          <w:rFonts w:hint="eastAsia" w:ascii="仿宋" w:hAnsi="仿宋" w:eastAsia="仿宋"/>
          <w:b/>
          <w:sz w:val="32"/>
          <w:szCs w:val="32"/>
        </w:rPr>
        <w:t>2.3.3数据收集与绩效评价实施过程</w:t>
      </w:r>
      <w:bookmarkEnd w:id="52"/>
      <w:bookmarkEnd w:id="53"/>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评价小组在工作方案指导下，开展绩效评价工作。广泛收集部门绩效相关资料并分析部门支出情况，采用访谈方法收集一手数据，通过对资料分析、研究、总结，对指标体系评分，得出部门取得的成绩，指出部门存在的问题，提出相关建议。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(1)工作方案策划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首先与委托方、预算单位等部门进行充分沟通与交流，制定绩效评价工作方案。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(2)资料收集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绩效评价组以绩效评价指标体系要求为基础进行资料收集，收集了部门整体支出绩效的各项资料，包括机构人员、职能职责、预算编制、工作计划、工作总结、工作流程、管理制度、检查监督、档案管理等。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(3)访谈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为更进一步了解部门整体支出的各项情况，我们开展访谈，对项目有关人员进行情况了解。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(4)分析研究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按照制定的绩效评价指标体系，根据以上收集的文献资料、访谈等，对各项绩效评价指标进行分析与评价。</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 (5)归纳总结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在充分调研、分析的基础上，对预算单位取得的成效与经验、存在的问题进行归纳总结，并提出相关建议。 </w:t>
      </w:r>
    </w:p>
    <w:p>
      <w:pPr>
        <w:spacing w:line="520" w:lineRule="exact"/>
        <w:ind w:firstLine="640" w:firstLineChars="200"/>
        <w:rPr>
          <w:rFonts w:ascii="仿宋" w:hAnsi="仿宋" w:eastAsia="仿宋"/>
          <w:sz w:val="32"/>
          <w:szCs w:val="32"/>
        </w:rPr>
      </w:pPr>
      <w:r>
        <w:rPr>
          <w:rFonts w:hint="eastAsia" w:ascii="仿宋" w:hAnsi="仿宋" w:eastAsia="仿宋"/>
          <w:sz w:val="32"/>
          <w:szCs w:val="32"/>
        </w:rPr>
        <w:t xml:space="preserve">(6)形成报告 </w:t>
      </w:r>
    </w:p>
    <w:p>
      <w:pPr>
        <w:spacing w:line="520" w:lineRule="exact"/>
        <w:ind w:firstLine="640" w:firstLineChars="200"/>
        <w:rPr>
          <w:rFonts w:hint="eastAsia" w:ascii="仿宋" w:hAnsi="仿宋" w:eastAsia="仿宋"/>
          <w:sz w:val="32"/>
          <w:szCs w:val="32"/>
        </w:rPr>
      </w:pPr>
      <w:r>
        <w:rPr>
          <w:rFonts w:hint="eastAsia" w:ascii="仿宋" w:hAnsi="仿宋" w:eastAsia="仿宋"/>
          <w:sz w:val="32"/>
          <w:szCs w:val="32"/>
        </w:rPr>
        <w:t>在资料收集、访谈、分析研究、归纳总结的基础上，编制报告初稿，并按照委托方的意见对报告进行修改，形成绩效评价最终报告。</w:t>
      </w:r>
    </w:p>
    <w:p>
      <w:pPr>
        <w:pStyle w:val="2"/>
      </w:pPr>
    </w:p>
    <w:p>
      <w:pPr>
        <w:spacing w:line="520" w:lineRule="exact"/>
        <w:outlineLvl w:val="0"/>
        <w:rPr>
          <w:rFonts w:ascii="仿宋" w:hAnsi="仿宋" w:eastAsia="仿宋" w:cs="仿宋"/>
          <w:b/>
          <w:sz w:val="32"/>
          <w:szCs w:val="32"/>
        </w:rPr>
      </w:pPr>
      <w:bookmarkStart w:id="54" w:name="_Toc26369"/>
      <w:bookmarkStart w:id="55" w:name="_Toc15769"/>
      <w:r>
        <w:rPr>
          <w:rFonts w:hint="eastAsia" w:ascii="仿宋" w:hAnsi="仿宋" w:eastAsia="仿宋" w:cs="仿宋"/>
          <w:b/>
          <w:sz w:val="32"/>
          <w:szCs w:val="32"/>
          <w:lang w:val="en-US" w:eastAsia="zh-CN"/>
        </w:rPr>
        <w:t>三</w:t>
      </w:r>
      <w:r>
        <w:rPr>
          <w:rFonts w:hint="eastAsia" w:ascii="仿宋" w:hAnsi="仿宋" w:eastAsia="仿宋" w:cs="仿宋"/>
          <w:b/>
          <w:sz w:val="32"/>
          <w:szCs w:val="32"/>
        </w:rPr>
        <w:t>、具体绩效分析</w:t>
      </w:r>
      <w:bookmarkEnd w:id="54"/>
      <w:bookmarkEnd w:id="55"/>
    </w:p>
    <w:p>
      <w:pPr>
        <w:spacing w:line="520" w:lineRule="exact"/>
        <w:outlineLvl w:val="1"/>
        <w:rPr>
          <w:rFonts w:ascii="仿宋" w:hAnsi="仿宋" w:eastAsia="仿宋" w:cs="仿宋"/>
          <w:b/>
          <w:sz w:val="32"/>
          <w:szCs w:val="32"/>
        </w:rPr>
      </w:pPr>
      <w:bookmarkStart w:id="56" w:name="_Toc23219"/>
      <w:bookmarkStart w:id="57" w:name="_Toc26962"/>
      <w:bookmarkStart w:id="58" w:name="_Toc21345"/>
      <w:r>
        <w:rPr>
          <w:rFonts w:hint="eastAsia" w:ascii="仿宋" w:hAnsi="仿宋" w:eastAsia="仿宋" w:cs="仿宋"/>
          <w:b/>
          <w:sz w:val="32"/>
          <w:szCs w:val="32"/>
        </w:rPr>
        <w:t>3.1投入指标类</w:t>
      </w:r>
      <w:bookmarkEnd w:id="56"/>
      <w:bookmarkEnd w:id="57"/>
      <w:bookmarkEnd w:id="58"/>
    </w:p>
    <w:p>
      <w:pPr>
        <w:spacing w:line="520" w:lineRule="exact"/>
        <w:ind w:firstLine="561"/>
        <w:rPr>
          <w:rFonts w:ascii="仿宋" w:hAnsi="仿宋" w:eastAsia="仿宋" w:cs="仿宋"/>
          <w:sz w:val="32"/>
          <w:szCs w:val="32"/>
        </w:rPr>
      </w:pPr>
      <w:r>
        <w:rPr>
          <w:rFonts w:hint="eastAsia" w:ascii="仿宋" w:hAnsi="仿宋" w:eastAsia="仿宋" w:cs="仿宋"/>
          <w:sz w:val="32"/>
          <w:szCs w:val="32"/>
        </w:rPr>
        <w:t>投入指标类由3个二级指标和7个三级指标构成，权重分为15分，实际得分13分，得分率86.67%。</w:t>
      </w:r>
    </w:p>
    <w:p>
      <w:pPr>
        <w:spacing w:line="520" w:lineRule="exact"/>
        <w:ind w:firstLine="643" w:firstLineChars="200"/>
        <w:rPr>
          <w:rFonts w:ascii="仿宋" w:hAnsi="仿宋" w:eastAsia="仿宋" w:cs="仿宋"/>
          <w:b/>
          <w:sz w:val="32"/>
          <w:szCs w:val="32"/>
        </w:rPr>
      </w:pPr>
      <w:r>
        <w:rPr>
          <w:rFonts w:hint="eastAsia" w:ascii="仿宋" w:hAnsi="仿宋" w:eastAsia="仿宋" w:cs="仿宋"/>
          <w:b/>
          <w:sz w:val="32"/>
          <w:szCs w:val="32"/>
        </w:rPr>
        <w:t>A.投入指标</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主要考察预算编制的完整性、准确性和合理性，绩效目标设立是否细化、量化、明确，是否在保障职能履行的同时最大限度的控制行政成本。</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各指标业绩值和实际得分详见表3-1。</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表3-1 投入指标评分表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tcPr>
          <w:p>
            <w:pPr>
              <w:spacing w:line="520" w:lineRule="exact"/>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指标权重</w:t>
            </w:r>
          </w:p>
        </w:tc>
        <w:tc>
          <w:tcPr>
            <w:tcW w:w="197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A1 预算编制</w:t>
            </w:r>
          </w:p>
        </w:tc>
        <w:tc>
          <w:tcPr>
            <w:tcW w:w="1174" w:type="dxa"/>
          </w:tcPr>
          <w:p>
            <w:pPr>
              <w:spacing w:line="520" w:lineRule="exact"/>
              <w:ind w:firstLine="360"/>
              <w:jc w:val="both"/>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A1.1 预算编制完整性</w:t>
            </w:r>
          </w:p>
        </w:tc>
        <w:tc>
          <w:tcPr>
            <w:tcW w:w="1174" w:type="dxa"/>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A1.2 预算编制准确性</w:t>
            </w:r>
          </w:p>
        </w:tc>
        <w:tc>
          <w:tcPr>
            <w:tcW w:w="1174" w:type="dxa"/>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A2 绩效目标</w:t>
            </w:r>
          </w:p>
        </w:tc>
        <w:tc>
          <w:tcPr>
            <w:tcW w:w="1174" w:type="dxa"/>
          </w:tcPr>
          <w:p>
            <w:pPr>
              <w:spacing w:line="520" w:lineRule="exact"/>
              <w:ind w:firstLine="360"/>
              <w:jc w:val="both"/>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183" w:type="dxa"/>
            <w:vAlign w:val="center"/>
          </w:tcPr>
          <w:p>
            <w:pPr>
              <w:spacing w:line="520" w:lineRule="exact"/>
              <w:ind w:firstLine="300" w:firstLineChars="100"/>
              <w:jc w:val="left"/>
              <w:rPr>
                <w:rFonts w:ascii="仿宋" w:hAnsi="仿宋" w:eastAsia="仿宋" w:cs="仿宋"/>
                <w:kern w:val="0"/>
                <w:sz w:val="30"/>
                <w:szCs w:val="30"/>
              </w:rPr>
            </w:pPr>
            <w:r>
              <w:rPr>
                <w:rFonts w:hint="eastAsia" w:ascii="仿宋" w:hAnsi="仿宋" w:eastAsia="仿宋" w:cs="仿宋"/>
                <w:kern w:val="0"/>
                <w:sz w:val="30"/>
                <w:szCs w:val="30"/>
              </w:rPr>
              <w:t>A2.1 绩效指标明确性</w:t>
            </w:r>
          </w:p>
        </w:tc>
        <w:tc>
          <w:tcPr>
            <w:tcW w:w="1174" w:type="dxa"/>
            <w:vAlign w:val="center"/>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3</w:t>
            </w:r>
          </w:p>
        </w:tc>
        <w:tc>
          <w:tcPr>
            <w:tcW w:w="1973" w:type="dxa"/>
            <w:vAlign w:val="center"/>
          </w:tcPr>
          <w:p>
            <w:pPr>
              <w:spacing w:line="52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明确性、</w:t>
            </w:r>
          </w:p>
          <w:p>
            <w:pPr>
              <w:spacing w:line="520" w:lineRule="exact"/>
              <w:jc w:val="center"/>
              <w:rPr>
                <w:rFonts w:ascii="仿宋" w:hAnsi="仿宋" w:eastAsia="仿宋" w:cs="仿宋"/>
                <w:kern w:val="0"/>
                <w:sz w:val="28"/>
                <w:szCs w:val="28"/>
              </w:rPr>
            </w:pPr>
            <w:r>
              <w:rPr>
                <w:rFonts w:hint="eastAsia" w:ascii="仿宋" w:hAnsi="仿宋" w:eastAsia="仿宋" w:cs="仿宋"/>
                <w:kern w:val="0"/>
                <w:sz w:val="28"/>
                <w:szCs w:val="28"/>
              </w:rPr>
              <w:t>量化不足</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00" w:firstLineChars="100"/>
              <w:jc w:val="left"/>
              <w:rPr>
                <w:rFonts w:ascii="仿宋" w:hAnsi="仿宋" w:eastAsia="仿宋" w:cs="仿宋"/>
                <w:kern w:val="0"/>
                <w:sz w:val="30"/>
                <w:szCs w:val="30"/>
              </w:rPr>
            </w:pPr>
            <w:r>
              <w:rPr>
                <w:rFonts w:hint="eastAsia" w:ascii="仿宋" w:hAnsi="仿宋" w:eastAsia="仿宋" w:cs="仿宋"/>
                <w:kern w:val="0"/>
                <w:sz w:val="30"/>
                <w:szCs w:val="30"/>
              </w:rPr>
              <w:t>A2.2 绩效指标科学合理性</w:t>
            </w:r>
          </w:p>
        </w:tc>
        <w:tc>
          <w:tcPr>
            <w:tcW w:w="1174" w:type="dxa"/>
            <w:vAlign w:val="center"/>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3</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科学合理性、匹配性不足</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A3 预算配置</w:t>
            </w:r>
          </w:p>
        </w:tc>
        <w:tc>
          <w:tcPr>
            <w:tcW w:w="1174" w:type="dxa"/>
          </w:tcPr>
          <w:p>
            <w:pPr>
              <w:spacing w:line="520" w:lineRule="exact"/>
              <w:ind w:firstLine="360"/>
              <w:jc w:val="both"/>
              <w:rPr>
                <w:rFonts w:ascii="仿宋" w:hAnsi="仿宋" w:eastAsia="仿宋" w:cs="仿宋"/>
                <w:kern w:val="0"/>
                <w:sz w:val="30"/>
                <w:szCs w:val="30"/>
              </w:rPr>
            </w:pPr>
          </w:p>
        </w:tc>
        <w:tc>
          <w:tcPr>
            <w:tcW w:w="1973" w:type="dxa"/>
            <w:vAlign w:val="center"/>
          </w:tcPr>
          <w:p>
            <w:pPr>
              <w:spacing w:line="520" w:lineRule="exact"/>
              <w:ind w:firstLine="1950" w:firstLineChars="650"/>
              <w:jc w:val="center"/>
              <w:rPr>
                <w:rFonts w:ascii="仿宋" w:hAnsi="仿宋" w:eastAsia="仿宋" w:cs="仿宋"/>
                <w:kern w:val="0"/>
                <w:sz w:val="30"/>
                <w:szCs w:val="30"/>
              </w:rPr>
            </w:pPr>
          </w:p>
        </w:tc>
        <w:tc>
          <w:tcPr>
            <w:tcW w:w="1228" w:type="dxa"/>
            <w:vAlign w:val="center"/>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00" w:firstLineChars="100"/>
              <w:jc w:val="left"/>
              <w:rPr>
                <w:rFonts w:ascii="仿宋" w:hAnsi="仿宋" w:eastAsia="仿宋" w:cs="仿宋"/>
                <w:kern w:val="0"/>
                <w:sz w:val="30"/>
                <w:szCs w:val="30"/>
              </w:rPr>
            </w:pPr>
            <w:r>
              <w:rPr>
                <w:rFonts w:hint="eastAsia" w:ascii="仿宋" w:hAnsi="仿宋" w:eastAsia="仿宋" w:cs="仿宋"/>
                <w:kern w:val="0"/>
                <w:sz w:val="30"/>
                <w:szCs w:val="30"/>
              </w:rPr>
              <w:t>A3.1在职人员控制率</w:t>
            </w:r>
          </w:p>
        </w:tc>
        <w:tc>
          <w:tcPr>
            <w:tcW w:w="1174" w:type="dxa"/>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96.97%</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00" w:firstLineChars="100"/>
              <w:jc w:val="left"/>
              <w:rPr>
                <w:rFonts w:ascii="仿宋" w:hAnsi="仿宋" w:eastAsia="仿宋" w:cs="仿宋"/>
                <w:kern w:val="0"/>
                <w:sz w:val="30"/>
                <w:szCs w:val="30"/>
              </w:rPr>
            </w:pPr>
            <w:r>
              <w:rPr>
                <w:rFonts w:hint="eastAsia" w:ascii="仿宋" w:hAnsi="仿宋" w:eastAsia="仿宋" w:cs="仿宋"/>
                <w:kern w:val="0"/>
                <w:sz w:val="30"/>
                <w:szCs w:val="30"/>
              </w:rPr>
              <w:t>A3.2“三公经费”变动率</w:t>
            </w:r>
          </w:p>
        </w:tc>
        <w:tc>
          <w:tcPr>
            <w:tcW w:w="1174" w:type="dxa"/>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1</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-80.73%</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vAlign w:val="center"/>
          </w:tcPr>
          <w:p>
            <w:pPr>
              <w:spacing w:line="520" w:lineRule="exact"/>
              <w:ind w:firstLine="300" w:firstLineChars="100"/>
              <w:jc w:val="left"/>
              <w:rPr>
                <w:rFonts w:ascii="仿宋" w:hAnsi="仿宋" w:eastAsia="仿宋" w:cs="仿宋"/>
                <w:kern w:val="0"/>
                <w:sz w:val="30"/>
                <w:szCs w:val="30"/>
              </w:rPr>
            </w:pPr>
            <w:r>
              <w:rPr>
                <w:rFonts w:hint="eastAsia" w:ascii="仿宋" w:hAnsi="仿宋" w:eastAsia="仿宋" w:cs="仿宋"/>
                <w:kern w:val="0"/>
                <w:sz w:val="30"/>
                <w:szCs w:val="30"/>
              </w:rPr>
              <w:t>A3.3重点支出安排率</w:t>
            </w:r>
          </w:p>
        </w:tc>
        <w:tc>
          <w:tcPr>
            <w:tcW w:w="1174" w:type="dxa"/>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ind w:firstLine="360"/>
              <w:jc w:val="both"/>
              <w:rPr>
                <w:rFonts w:ascii="仿宋" w:hAnsi="仿宋" w:eastAsia="仿宋" w:cs="仿宋"/>
                <w:kern w:val="0"/>
                <w:sz w:val="30"/>
                <w:szCs w:val="30"/>
              </w:rPr>
            </w:pPr>
            <w:r>
              <w:rPr>
                <w:rFonts w:hint="eastAsia" w:ascii="仿宋" w:hAnsi="仿宋" w:eastAsia="仿宋" w:cs="仿宋"/>
                <w:kern w:val="0"/>
                <w:sz w:val="30"/>
                <w:szCs w:val="30"/>
              </w:rPr>
              <w:t>15</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13</w:t>
            </w:r>
          </w:p>
        </w:tc>
      </w:tr>
    </w:tbl>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  预算编制</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A1.1预算编制完整性</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通过对比蓉江新区疾控中心公开的预算信息、预算表和财政部门批复的预算，可以看到相关预算编制完整、齐全。因此，预算编制完整性目标值实现。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jc w:val="left"/>
        <w:rPr>
          <w:rFonts w:ascii="仿宋" w:hAnsi="仿宋" w:eastAsia="仿宋"/>
          <w:sz w:val="32"/>
          <w:szCs w:val="32"/>
        </w:rPr>
      </w:pPr>
      <w:r>
        <w:rPr>
          <w:rFonts w:hint="eastAsia" w:ascii="仿宋" w:hAnsi="仿宋" w:eastAsia="仿宋" w:cs="仿宋"/>
          <w:sz w:val="32"/>
          <w:szCs w:val="32"/>
        </w:rPr>
        <w:t>A1.2预算编制准确性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通过对比蓉江新区疾控中心公开的预算信息、预算表和财政部门批复的预算，预算科目分类、列报准确。因此，预算编制准确性目标值实现。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A2绩效目标</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A2.1绩效指标明确性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部门整体支出绩效目标表”共设置一级指标3个、二级指标9个、三级指标39个，在39个三级指标中有量化指标29个，量化比率为74.36%，其中“成本指标”为可量化指标未充分量化。因此，绩效指标明确性目标值未完全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该项指标满分3分，根据评分标准得2分。</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由于预算绩效管理工作还处于一个探索和学习的初级阶段，目标体系尚待健全，相关工作经验有待累积，是该指标业绩值不足的主要原因。</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A2.2 绩效指标科学合理性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部门整体支出绩效目标表”设置的绩效目标依据部门职能和年度工作任务、计划确定，设置是有依据的；二级指标“经济效益指标”项下三级指标的设置不宜用作衡量经济效益，绩效指标设置不够科学、合理，也无法体现与本年度部门预算资金的匹配性。因此，绩效指标科学合理性目标值未完全实现。</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该项指标满分3分，根据评分标准得2分。</w:t>
      </w:r>
    </w:p>
    <w:p>
      <w:pPr>
        <w:pStyle w:val="2"/>
        <w:spacing w:line="520" w:lineRule="exact"/>
        <w:ind w:firstLine="640"/>
        <w:rPr>
          <w:rFonts w:ascii="仿宋" w:hAnsi="仿宋" w:eastAsia="仿宋"/>
          <w:sz w:val="32"/>
          <w:szCs w:val="32"/>
          <w:highlight w:val="yellow"/>
        </w:rPr>
      </w:pPr>
      <w:r>
        <w:rPr>
          <w:rFonts w:hint="eastAsia" w:ascii="仿宋" w:hAnsi="仿宋" w:eastAsia="仿宋" w:cs="仿宋"/>
          <w:sz w:val="32"/>
          <w:szCs w:val="32"/>
        </w:rPr>
        <w:t>绩效指标设置科学合理，需要部门内多岗位联动，相关人员共同参与，结合部门预算、工作规划、工作任务和计划来综合确定，目标设置过程中的全系统参与不足、工作计划不完善、重视程度不够是该指标未能完全完成的主要原因。</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A3预算配置</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A3.1在职人员控制率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根据蓉江新区疾控中心提供的职能配置、机构设置和人员编制的相关文件资料，以及门户网站公开的信息，蓉江新区疾控中心核定编制33人，2022</w:t>
      </w:r>
      <w:r>
        <w:rPr>
          <w:rFonts w:hint="eastAsia" w:ascii="仿宋" w:hAnsi="仿宋" w:eastAsia="仿宋"/>
          <w:sz w:val="32"/>
          <w:szCs w:val="32"/>
        </w:rPr>
        <w:t>年末在职人数32人，</w:t>
      </w:r>
      <w:r>
        <w:rPr>
          <w:rFonts w:hint="eastAsia" w:ascii="仿宋" w:hAnsi="仿宋" w:eastAsia="仿宋" w:cs="仿宋"/>
          <w:sz w:val="32"/>
          <w:szCs w:val="32"/>
        </w:rPr>
        <w:t>其中以财政确定的部门决算编制口径的在职人员32人。在职人员控制率=（在职人员数/编制数）×100%=（32人/33人）×100%=96.97%。因此，在职人员控制率目标值实现。</w:t>
      </w:r>
    </w:p>
    <w:p>
      <w:pPr>
        <w:spacing w:line="520" w:lineRule="exact"/>
        <w:ind w:firstLine="640" w:firstLineChars="200"/>
        <w:jc w:val="left"/>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A3.2“三公经费”变动率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2021年度“三公经费”预算23.358万元，2022年度“三公经费”预算4.5万元，“三公经费”变动率=[（本年度“三公经费”总额-上年度“三公经费”总额）/上年度“三公经费”总额]×100%=[4.5万元-23.358万元）/23.358万元]×100%=-80.73%。因此，“三公经费”变动率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A3.3重点支出安排率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度项目支出预算558.39万元，均为蓉江新区疾控中心履职和发展密切相关、具有明显社会和经济影响、党委政府关心或社会比较关注的重点项目支出，重点支出安排率=（重点项目支出/项目总支出）×100%=（558.39万元/558.39万元）×100%=100%。因此，重点支出安排率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pStyle w:val="2"/>
        <w:spacing w:line="520" w:lineRule="exact"/>
        <w:ind w:firstLine="0" w:firstLineChars="0"/>
        <w:outlineLvl w:val="1"/>
        <w:rPr>
          <w:rFonts w:ascii="仿宋" w:hAnsi="仿宋" w:eastAsia="仿宋" w:cs="仿宋"/>
          <w:b/>
          <w:sz w:val="32"/>
          <w:szCs w:val="32"/>
        </w:rPr>
      </w:pPr>
      <w:bookmarkStart w:id="59" w:name="_Toc24468"/>
      <w:bookmarkStart w:id="60" w:name="_Toc22163"/>
      <w:bookmarkStart w:id="61" w:name="_Toc19807"/>
      <w:r>
        <w:rPr>
          <w:rFonts w:hint="eastAsia" w:ascii="仿宋" w:hAnsi="仿宋" w:eastAsia="仿宋" w:cs="仿宋"/>
          <w:b/>
          <w:sz w:val="32"/>
          <w:szCs w:val="32"/>
        </w:rPr>
        <w:t>3.2过程指标类</w:t>
      </w:r>
      <w:bookmarkEnd w:id="59"/>
      <w:bookmarkEnd w:id="60"/>
      <w:bookmarkEnd w:id="61"/>
    </w:p>
    <w:p>
      <w:pPr>
        <w:spacing w:line="520" w:lineRule="exact"/>
        <w:ind w:firstLine="561"/>
        <w:rPr>
          <w:rFonts w:ascii="仿宋" w:hAnsi="仿宋" w:eastAsia="仿宋" w:cs="仿宋"/>
          <w:sz w:val="32"/>
          <w:szCs w:val="32"/>
        </w:rPr>
      </w:pPr>
      <w:r>
        <w:rPr>
          <w:rFonts w:hint="eastAsia" w:ascii="仿宋" w:hAnsi="仿宋" w:eastAsia="仿宋" w:cs="仿宋"/>
          <w:sz w:val="32"/>
          <w:szCs w:val="32"/>
        </w:rPr>
        <w:t>过程指标类由3个二级指标和13个三级指标构成，权重分为</w:t>
      </w:r>
      <w:r>
        <w:rPr>
          <w:rFonts w:hint="eastAsia" w:ascii="仿宋" w:hAnsi="仿宋" w:eastAsia="仿宋" w:cs="仿宋"/>
          <w:color w:val="000000" w:themeColor="text1"/>
          <w:sz w:val="32"/>
          <w:szCs w:val="32"/>
          <w14:textFill>
            <w14:solidFill>
              <w14:schemeClr w14:val="tx1"/>
            </w14:solidFill>
          </w14:textFill>
        </w:rPr>
        <w:t>25</w:t>
      </w:r>
      <w:r>
        <w:rPr>
          <w:rFonts w:hint="eastAsia" w:ascii="仿宋" w:hAnsi="仿宋" w:eastAsia="仿宋" w:cs="仿宋"/>
          <w:sz w:val="32"/>
          <w:szCs w:val="32"/>
        </w:rPr>
        <w:t>分，实际得分21分，得分率84%。</w:t>
      </w:r>
    </w:p>
    <w:p>
      <w:pPr>
        <w:spacing w:line="520" w:lineRule="exact"/>
        <w:ind w:firstLine="643" w:firstLineChars="200"/>
        <w:rPr>
          <w:rFonts w:ascii="仿宋" w:hAnsi="仿宋" w:eastAsia="仿宋" w:cs="仿宋"/>
          <w:b/>
          <w:sz w:val="32"/>
          <w:szCs w:val="32"/>
        </w:rPr>
      </w:pPr>
      <w:r>
        <w:rPr>
          <w:rFonts w:hint="eastAsia" w:ascii="仿宋" w:hAnsi="仿宋" w:eastAsia="仿宋" w:cs="仿宋"/>
          <w:b/>
          <w:sz w:val="32"/>
          <w:szCs w:val="32"/>
        </w:rPr>
        <w:t>B.过程指标</w:t>
      </w:r>
    </w:p>
    <w:p>
      <w:pPr>
        <w:spacing w:line="520" w:lineRule="exact"/>
        <w:ind w:firstLine="561"/>
        <w:rPr>
          <w:rFonts w:ascii="仿宋" w:hAnsi="仿宋" w:eastAsia="仿宋" w:cs="仿宋"/>
          <w:sz w:val="32"/>
          <w:szCs w:val="32"/>
        </w:rPr>
      </w:pPr>
      <w:r>
        <w:rPr>
          <w:rFonts w:hint="eastAsia" w:ascii="仿宋" w:hAnsi="仿宋" w:eastAsia="仿宋" w:cs="仿宋"/>
          <w:sz w:val="32"/>
          <w:szCs w:val="32"/>
        </w:rPr>
        <w:t>主要考察是否根据批复的预算和用途使用资金。预算执行过程中的管理、监督和核算以及资产管理、处置是否符合相关规定。</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各指标业绩值和实际得分详见表3-2。</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表3-2 过程指标评分表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65"/>
        <w:gridCol w:w="1464"/>
        <w:gridCol w:w="1701"/>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464" w:type="dxa"/>
          </w:tcPr>
          <w:p>
            <w:pPr>
              <w:spacing w:line="520" w:lineRule="exact"/>
              <w:jc w:val="both"/>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70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428" w:type="dxa"/>
          </w:tcPr>
          <w:p>
            <w:pPr>
              <w:spacing w:line="520" w:lineRule="exact"/>
              <w:jc w:val="both"/>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965"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B1 预算执行</w:t>
            </w:r>
          </w:p>
        </w:tc>
        <w:tc>
          <w:tcPr>
            <w:tcW w:w="1464" w:type="dxa"/>
          </w:tcPr>
          <w:p>
            <w:pPr>
              <w:spacing w:line="520" w:lineRule="exact"/>
              <w:ind w:firstLine="360"/>
              <w:jc w:val="center"/>
              <w:rPr>
                <w:rFonts w:ascii="仿宋" w:hAnsi="仿宋" w:eastAsia="仿宋" w:cs="仿宋"/>
                <w:kern w:val="0"/>
                <w:sz w:val="30"/>
                <w:szCs w:val="30"/>
              </w:rPr>
            </w:pPr>
          </w:p>
        </w:tc>
        <w:tc>
          <w:tcPr>
            <w:tcW w:w="1701" w:type="dxa"/>
          </w:tcPr>
          <w:p>
            <w:pPr>
              <w:spacing w:line="520" w:lineRule="exact"/>
              <w:ind w:firstLine="360"/>
              <w:jc w:val="center"/>
              <w:rPr>
                <w:rFonts w:ascii="仿宋" w:hAnsi="仿宋" w:eastAsia="仿宋" w:cs="仿宋"/>
                <w:kern w:val="0"/>
                <w:sz w:val="30"/>
                <w:szCs w:val="30"/>
              </w:rPr>
            </w:pPr>
          </w:p>
        </w:tc>
        <w:tc>
          <w:tcPr>
            <w:tcW w:w="14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B1.1预算完成率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90.21%</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B1.2预算调整率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B1.3支付进度率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90.25%</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B1.4公用经费控制率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36.56%</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B1.5“三公经费”控制率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45.78%</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B1.6政府采购执行率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18.30%</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B2 预算管理</w:t>
            </w:r>
          </w:p>
        </w:tc>
        <w:tc>
          <w:tcPr>
            <w:tcW w:w="1464" w:type="dxa"/>
          </w:tcPr>
          <w:p>
            <w:pPr>
              <w:spacing w:line="520" w:lineRule="exact"/>
              <w:ind w:firstLine="360"/>
              <w:jc w:val="center"/>
              <w:rPr>
                <w:rFonts w:ascii="仿宋" w:hAnsi="仿宋" w:eastAsia="仿宋" w:cs="仿宋"/>
                <w:kern w:val="0"/>
                <w:sz w:val="30"/>
                <w:szCs w:val="30"/>
              </w:rPr>
            </w:pPr>
          </w:p>
        </w:tc>
        <w:tc>
          <w:tcPr>
            <w:tcW w:w="1701" w:type="dxa"/>
          </w:tcPr>
          <w:p>
            <w:pPr>
              <w:spacing w:line="520" w:lineRule="exact"/>
              <w:ind w:firstLine="360"/>
              <w:jc w:val="center"/>
              <w:rPr>
                <w:rFonts w:ascii="仿宋" w:hAnsi="仿宋" w:eastAsia="仿宋" w:cs="仿宋"/>
                <w:kern w:val="0"/>
                <w:sz w:val="30"/>
                <w:szCs w:val="30"/>
              </w:rPr>
            </w:pPr>
          </w:p>
        </w:tc>
        <w:tc>
          <w:tcPr>
            <w:tcW w:w="14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B2.1管理制度健全性</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B2.2资金使用合规性</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B2.3预决算信息公开性</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B2.4财务信息完善性</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B3 资产管理</w:t>
            </w:r>
          </w:p>
        </w:tc>
        <w:tc>
          <w:tcPr>
            <w:tcW w:w="1464" w:type="dxa"/>
          </w:tcPr>
          <w:p>
            <w:pPr>
              <w:spacing w:line="520" w:lineRule="exact"/>
              <w:ind w:firstLine="360"/>
              <w:jc w:val="center"/>
              <w:rPr>
                <w:rFonts w:ascii="仿宋" w:hAnsi="仿宋" w:eastAsia="仿宋" w:cs="仿宋"/>
                <w:kern w:val="0"/>
                <w:sz w:val="30"/>
                <w:szCs w:val="30"/>
              </w:rPr>
            </w:pPr>
          </w:p>
        </w:tc>
        <w:tc>
          <w:tcPr>
            <w:tcW w:w="1701" w:type="dxa"/>
          </w:tcPr>
          <w:p>
            <w:pPr>
              <w:spacing w:line="520" w:lineRule="exact"/>
              <w:ind w:firstLine="360"/>
              <w:jc w:val="center"/>
              <w:rPr>
                <w:rFonts w:ascii="仿宋" w:hAnsi="仿宋" w:eastAsia="仿宋" w:cs="仿宋"/>
                <w:kern w:val="0"/>
                <w:sz w:val="30"/>
                <w:szCs w:val="30"/>
              </w:rPr>
            </w:pPr>
          </w:p>
        </w:tc>
        <w:tc>
          <w:tcPr>
            <w:tcW w:w="14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B3.1资产管理制度健全性</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B3.2 资产管理安全性</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965"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B3.3固定资产利用率</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1701"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428"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3965"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464"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25</w:t>
            </w:r>
          </w:p>
        </w:tc>
        <w:tc>
          <w:tcPr>
            <w:tcW w:w="1701" w:type="dxa"/>
          </w:tcPr>
          <w:p>
            <w:pPr>
              <w:spacing w:line="520" w:lineRule="exact"/>
              <w:ind w:firstLine="360"/>
              <w:jc w:val="center"/>
              <w:rPr>
                <w:rFonts w:ascii="仿宋" w:hAnsi="仿宋" w:eastAsia="仿宋" w:cs="仿宋"/>
                <w:kern w:val="0"/>
                <w:sz w:val="30"/>
                <w:szCs w:val="30"/>
              </w:rPr>
            </w:pPr>
          </w:p>
        </w:tc>
        <w:tc>
          <w:tcPr>
            <w:tcW w:w="1428"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21</w:t>
            </w:r>
          </w:p>
        </w:tc>
      </w:tr>
    </w:tbl>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  预算执行</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B1.1 预算完成率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蓉江新区疾控中心决算公开中的预决算数据，2022年部门调整后的预算数867.42万元，预算完成数782.54万元，预算完成率=（预算完成数/预算数）×100%=（782.54万元/867.42万元）×100%=90.21%。因此，预算完成率目标值未完全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该项指标满分2分，根据评分标准得1分。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B1.2预算调整率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蓉江新区疾控中心决算公开中的预决算数据，2022年部门年初预算数867.42万元，调整后的预算数867.42万元，预算调整数0万元，预算调整率=（预算调整数/预算数）×100%=（0万元/867.42万元）×100%=0%。因此，预算调整率目标值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B1.3支付进度率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根据蓉江新区疾控中心提供的资料和数据，支付进度率达到90.25%。</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该项指标满分2分，根据评分标准得1分。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B1.4公用经费控制率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公用经费预算数34.11万元，实际支出公用经费12.47万元，公用经费控制率=（实际支出公用经费总额/预算安排公用经费总额）×100%=（12.47万元/34.11万元）=36.56%。因此，公用经费控制率目标值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B1.5“三公经费”控制率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三公经费”预算数4.5万元，实际支出“三公经费”2.06万元，“三公经费”控制率=（“三公经费”实际支出数/“三公经费”预算安排数）×100%=（2.06万元/4.5万元）=45.78%。因此，“三公经费”控制率目标值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B1.6政府采购执行率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蓉江新区疾控中心2022年政府采购预算数79.42万元，实际政府采购金额14.53万元，政府采购执行率=（实际政府采购金额/政府采购预算数）×100%=（14.53万元/79.42万元）=18.3%。因此，政府采购执行率目标值未实现。</w:t>
      </w:r>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该项指标满分2分，根据评分标准得0分。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B2预算管理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B2.1 管理制度健全性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蓉江新区疾控中心提交了相关预算资金管理办法、内部财务管理制度、会计核算制度等管理制度，制度较为健全。因此，管理制度健全性业绩值目标已实现。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B2.2资金使用合规性</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根据现有资料，未见资金使用不合规的情况。因此，资金使用合规性目标值实现。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B2.3预决算信息公开性</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通过政府门户网站查询，蓉江新区疾控中心按规定公开了部门预算、预算绩效公开表和预算公开说明、公开了部门决算情况。根据现有资料，我们认为蓉江新区疾控中心预决算信息公开符合相关规定。因此，预决算信息公开性目标值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B2.4财务信息完善性</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根据现有资料，未见财务信息存在不真实、不完整的情况。因此，资金使用合规性目标值实现。</w:t>
      </w:r>
    </w:p>
    <w:p>
      <w:pPr>
        <w:pStyle w:val="2"/>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B3预算管理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B3.1 资产管理制度健全性</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蓉江新区疾控中心提供了本次评价期间相关的资产管理制度。产管理制度健全性业绩值已实现。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B3.2资产管理安全性</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蓉江新区疾控中心提供了相关资产保存、配置和处置的相关资料。资产管理安全性业绩值已实现。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B3.3固定资产利用率</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根据蓉江新区疾控中心提供的资料，所有固定资产均在使用，无闲置。因此，固定资产利用率业绩值已实现。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spacing w:line="520" w:lineRule="exact"/>
        <w:outlineLvl w:val="1"/>
        <w:rPr>
          <w:rFonts w:ascii="仿宋" w:hAnsi="仿宋" w:eastAsia="仿宋" w:cs="仿宋"/>
          <w:b/>
          <w:sz w:val="32"/>
          <w:szCs w:val="32"/>
        </w:rPr>
      </w:pPr>
      <w:bookmarkStart w:id="62" w:name="_Toc29177"/>
      <w:bookmarkStart w:id="63" w:name="_Toc19230"/>
      <w:bookmarkStart w:id="64" w:name="_Toc29993"/>
      <w:r>
        <w:rPr>
          <w:rFonts w:hint="eastAsia" w:ascii="仿宋" w:hAnsi="仿宋" w:eastAsia="仿宋" w:cs="仿宋"/>
          <w:b/>
          <w:sz w:val="32"/>
          <w:szCs w:val="32"/>
        </w:rPr>
        <w:t>3.3产出指标类</w:t>
      </w:r>
      <w:bookmarkEnd w:id="62"/>
      <w:bookmarkEnd w:id="63"/>
      <w:bookmarkEnd w:id="64"/>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产出指标类由4个二级指标和4个三级指标构成，权重分为32分，实际得分32分，得分率100%。</w:t>
      </w:r>
    </w:p>
    <w:p>
      <w:pPr>
        <w:spacing w:line="52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C.产出指标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主要考察部门整体支出从数量、质量、时效和成本四个维度的达标情况，实现绩效既定目标的程度。</w:t>
      </w:r>
    </w:p>
    <w:p>
      <w:pPr>
        <w:spacing w:line="52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各指标业绩值和实际得分详见表3-3。</w:t>
      </w:r>
    </w:p>
    <w:p>
      <w:pPr>
        <w:spacing w:line="520" w:lineRule="exact"/>
        <w:jc w:val="center"/>
        <w:rPr>
          <w:rFonts w:ascii="仿宋" w:hAnsi="仿宋" w:eastAsia="仿宋" w:cs="仿宋"/>
          <w:sz w:val="32"/>
          <w:szCs w:val="32"/>
        </w:rPr>
      </w:pPr>
      <w:r>
        <w:rPr>
          <w:rFonts w:hint="eastAsia" w:ascii="仿宋" w:hAnsi="仿宋" w:eastAsia="仿宋" w:cs="仿宋"/>
          <w:b/>
          <w:bCs/>
          <w:sz w:val="32"/>
          <w:szCs w:val="32"/>
        </w:rPr>
        <w:t>表3-3 产出指标评分表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97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228" w:type="dxa"/>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C1数量指标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C1.1工作任务完成率</w:t>
            </w:r>
          </w:p>
        </w:tc>
        <w:tc>
          <w:tcPr>
            <w:tcW w:w="1174"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C2质量指标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C2.1工作质量合格率</w:t>
            </w:r>
          </w:p>
        </w:tc>
        <w:tc>
          <w:tcPr>
            <w:tcW w:w="1174"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C3时效指标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C3.1资金拨付及时率</w:t>
            </w:r>
          </w:p>
        </w:tc>
        <w:tc>
          <w:tcPr>
            <w:tcW w:w="1174"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228" w:type="dxa"/>
            <w:vAlign w:val="center"/>
          </w:tcPr>
          <w:p>
            <w:pPr>
              <w:widowControl/>
              <w:spacing w:line="520" w:lineRule="exact"/>
              <w:jc w:val="center"/>
              <w:textAlignment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C4成本指标</w:t>
            </w:r>
          </w:p>
        </w:tc>
        <w:tc>
          <w:tcPr>
            <w:tcW w:w="1174" w:type="dxa"/>
          </w:tcPr>
          <w:p>
            <w:pPr>
              <w:spacing w:line="520" w:lineRule="exact"/>
              <w:ind w:firstLine="360"/>
              <w:jc w:val="center"/>
              <w:rPr>
                <w:rFonts w:ascii="仿宋" w:hAnsi="仿宋" w:eastAsia="仿宋" w:cs="仿宋"/>
                <w:kern w:val="0"/>
                <w:sz w:val="30"/>
                <w:szCs w:val="30"/>
              </w:rPr>
            </w:pP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C4.1成本控制率</w:t>
            </w:r>
          </w:p>
        </w:tc>
        <w:tc>
          <w:tcPr>
            <w:tcW w:w="1174"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c>
          <w:tcPr>
            <w:tcW w:w="1973"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85.26%</w:t>
            </w: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32</w:t>
            </w:r>
          </w:p>
        </w:tc>
        <w:tc>
          <w:tcPr>
            <w:tcW w:w="1973" w:type="dxa"/>
          </w:tcPr>
          <w:p>
            <w:pPr>
              <w:spacing w:line="520" w:lineRule="exact"/>
              <w:ind w:firstLine="360"/>
              <w:jc w:val="center"/>
              <w:rPr>
                <w:rFonts w:ascii="仿宋" w:hAnsi="仿宋" w:eastAsia="仿宋" w:cs="仿宋"/>
                <w:kern w:val="0"/>
                <w:sz w:val="30"/>
                <w:szCs w:val="30"/>
              </w:rPr>
            </w:pPr>
          </w:p>
        </w:tc>
        <w:tc>
          <w:tcPr>
            <w:tcW w:w="1228" w:type="dxa"/>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32</w:t>
            </w:r>
          </w:p>
        </w:tc>
      </w:tr>
    </w:tbl>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C1数量指标</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C1.1工作任务完成率</w:t>
      </w:r>
    </w:p>
    <w:p>
      <w:pPr>
        <w:widowControl/>
        <w:spacing w:line="52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根据蓉江新区疾控中心2022年工作计划，本年度任务分为4个方面、20个具体方向的工作。实际完成率=（实际完成工作数/计划工作数）×100%=（20/20）×100%=100%。因此，工作任务完成率目标值已实现。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C2质量指标</w:t>
      </w:r>
    </w:p>
    <w:p>
      <w:pPr>
        <w:spacing w:line="520" w:lineRule="exact"/>
        <w:ind w:firstLine="640" w:firstLineChars="200"/>
        <w:rPr>
          <w:rFonts w:ascii="仿宋" w:hAnsi="仿宋" w:eastAsia="仿宋" w:cs="仿宋"/>
          <w:sz w:val="32"/>
          <w:szCs w:val="32"/>
          <w:highlight w:val="yellow"/>
        </w:rPr>
      </w:pPr>
      <w:r>
        <w:rPr>
          <w:rFonts w:hint="eastAsia" w:ascii="仿宋" w:hAnsi="仿宋" w:eastAsia="仿宋" w:cs="仿宋"/>
          <w:sz w:val="32"/>
          <w:szCs w:val="32"/>
        </w:rPr>
        <w:t>C2.1工作质量合格率</w:t>
      </w:r>
    </w:p>
    <w:p>
      <w:pPr>
        <w:widowControl/>
        <w:spacing w:line="52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根据蓉江新区疾控中心2022年工作计划，本年度任务分为4个方面、20个具体方向的工作。质量合格率=（合格工作数/计划工作数）×100%=（20/20个）×100%=90%。因此，工作质量合格率目标值已实现。</w:t>
      </w:r>
    </w:p>
    <w:p>
      <w:pPr>
        <w:widowControl/>
        <w:spacing w:line="520" w:lineRule="exact"/>
        <w:ind w:firstLine="627" w:firstLineChars="196"/>
        <w:jc w:val="left"/>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C3时效指标</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C3.1资金拨付及时率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蓉江新区疾控中心2022年设置了“按时完成各项资金任务发放”的时限目标。拨付及时率=（实际按时限拨付资金任务数/应按时拨付资金任务数）×100%=（20/20）×100%=100%。因此，资金拨付及时率目标值已实现。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C4成本指标</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C4.1成本控制率</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根据决算公开信息，项目全年预算数558.39万元，项目全年执行数476.09万元。成本控制率=（项目预算执行数/项目预算计划数）×100%=（476.09万元/558.39万元）×100%=85.26%。因此，成本控制率目标值已实现。</w:t>
      </w:r>
    </w:p>
    <w:p>
      <w:pPr>
        <w:pStyle w:val="2"/>
        <w:spacing w:line="520" w:lineRule="exact"/>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20" w:lineRule="exact"/>
        <w:outlineLvl w:val="1"/>
        <w:rPr>
          <w:rFonts w:ascii="仿宋" w:hAnsi="仿宋" w:eastAsia="仿宋" w:cs="仿宋"/>
          <w:b/>
          <w:sz w:val="32"/>
          <w:szCs w:val="32"/>
        </w:rPr>
      </w:pPr>
      <w:bookmarkStart w:id="65" w:name="_Toc815"/>
      <w:bookmarkStart w:id="66" w:name="_Toc20463"/>
      <w:bookmarkStart w:id="67" w:name="_Toc17597"/>
      <w:r>
        <w:rPr>
          <w:rFonts w:hint="eastAsia" w:ascii="仿宋" w:hAnsi="仿宋" w:eastAsia="仿宋" w:cs="仿宋"/>
          <w:b/>
          <w:sz w:val="32"/>
          <w:szCs w:val="32"/>
        </w:rPr>
        <w:t>3.4效果指标类</w:t>
      </w:r>
      <w:bookmarkEnd w:id="65"/>
      <w:bookmarkEnd w:id="66"/>
      <w:bookmarkEnd w:id="67"/>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效果指标类由2个二级指标和4个三级指标构成，权重分为28分，实际得分26.5分，得分率94.64%。</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D.效果指标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主要考察部门整体支出产生的经济效益和社会效益，服务对象的获益程度和满意度，评价项目的可持续影响。</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各指标业绩值和实际得分详见表3-4。</w:t>
      </w:r>
    </w:p>
    <w:p>
      <w:pPr>
        <w:rPr>
          <w:rFonts w:hint="eastAsia" w:ascii="仿宋" w:hAnsi="仿宋" w:eastAsia="仿宋" w:cs="仿宋"/>
          <w:b/>
          <w:bCs/>
          <w:sz w:val="32"/>
          <w:szCs w:val="32"/>
        </w:rPr>
      </w:pPr>
      <w:r>
        <w:rPr>
          <w:rFonts w:hint="eastAsia" w:ascii="仿宋" w:hAnsi="仿宋" w:eastAsia="仿宋" w:cs="仿宋"/>
          <w:b/>
          <w:bCs/>
          <w:sz w:val="32"/>
          <w:szCs w:val="32"/>
        </w:rPr>
        <w:br w:type="page"/>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表3-4 效果指标评分表</w:t>
      </w:r>
    </w:p>
    <w:tbl>
      <w:tblPr>
        <w:tblStyle w:val="1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00"/>
        <w:gridCol w:w="1591"/>
        <w:gridCol w:w="1811"/>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600"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591" w:type="dxa"/>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指标权重</w:t>
            </w:r>
          </w:p>
        </w:tc>
        <w:tc>
          <w:tcPr>
            <w:tcW w:w="1811" w:type="dxa"/>
          </w:tcPr>
          <w:p>
            <w:pPr>
              <w:spacing w:line="520" w:lineRule="exact"/>
              <w:ind w:firstLine="360"/>
              <w:rPr>
                <w:rFonts w:ascii="仿宋" w:hAnsi="仿宋" w:eastAsia="仿宋" w:cs="仿宋"/>
                <w:kern w:val="0"/>
                <w:sz w:val="30"/>
                <w:szCs w:val="30"/>
              </w:rPr>
            </w:pPr>
            <w:r>
              <w:rPr>
                <w:rFonts w:hint="eastAsia" w:ascii="仿宋" w:hAnsi="仿宋" w:eastAsia="仿宋" w:cs="仿宋"/>
                <w:kern w:val="0"/>
                <w:sz w:val="30"/>
                <w:szCs w:val="30"/>
              </w:rPr>
              <w:t>业绩值</w:t>
            </w:r>
          </w:p>
        </w:tc>
        <w:tc>
          <w:tcPr>
            <w:tcW w:w="1556" w:type="dxa"/>
          </w:tcPr>
          <w:p>
            <w:pPr>
              <w:spacing w:line="520" w:lineRule="exact"/>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600"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D1 履职效益</w:t>
            </w:r>
          </w:p>
        </w:tc>
        <w:tc>
          <w:tcPr>
            <w:tcW w:w="1591" w:type="dxa"/>
          </w:tcPr>
          <w:p>
            <w:pPr>
              <w:spacing w:line="520" w:lineRule="exact"/>
              <w:ind w:firstLine="360"/>
              <w:jc w:val="center"/>
              <w:rPr>
                <w:rFonts w:ascii="仿宋" w:hAnsi="仿宋" w:eastAsia="仿宋" w:cs="仿宋"/>
                <w:kern w:val="0"/>
                <w:sz w:val="30"/>
                <w:szCs w:val="30"/>
              </w:rPr>
            </w:pPr>
          </w:p>
        </w:tc>
        <w:tc>
          <w:tcPr>
            <w:tcW w:w="1811" w:type="dxa"/>
          </w:tcPr>
          <w:p>
            <w:pPr>
              <w:spacing w:line="520" w:lineRule="exact"/>
              <w:ind w:firstLine="360"/>
              <w:jc w:val="center"/>
              <w:rPr>
                <w:rFonts w:ascii="仿宋" w:hAnsi="仿宋" w:eastAsia="仿宋" w:cs="仿宋"/>
                <w:kern w:val="0"/>
                <w:sz w:val="30"/>
                <w:szCs w:val="30"/>
              </w:rPr>
            </w:pPr>
          </w:p>
        </w:tc>
        <w:tc>
          <w:tcPr>
            <w:tcW w:w="1556"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600"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D1.1经济效益</w:t>
            </w:r>
          </w:p>
        </w:tc>
        <w:tc>
          <w:tcPr>
            <w:tcW w:w="159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811"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556"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600"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D1.2社会效益</w:t>
            </w:r>
          </w:p>
        </w:tc>
        <w:tc>
          <w:tcPr>
            <w:tcW w:w="159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811"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556"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600" w:type="dxa"/>
            <w:vAlign w:val="center"/>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D1.3可持续影响</w:t>
            </w:r>
          </w:p>
        </w:tc>
        <w:tc>
          <w:tcPr>
            <w:tcW w:w="159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6</w:t>
            </w:r>
          </w:p>
        </w:tc>
        <w:tc>
          <w:tcPr>
            <w:tcW w:w="1811" w:type="dxa"/>
            <w:vAlign w:val="center"/>
          </w:tcPr>
          <w:p>
            <w:pPr>
              <w:spacing w:line="520" w:lineRule="exact"/>
              <w:jc w:val="center"/>
              <w:rPr>
                <w:rFonts w:ascii="仿宋" w:hAnsi="仿宋" w:eastAsia="仿宋" w:cs="仿宋"/>
                <w:kern w:val="0"/>
                <w:sz w:val="30"/>
                <w:szCs w:val="30"/>
              </w:rPr>
            </w:pPr>
            <w:r>
              <w:rPr>
                <w:rFonts w:hint="eastAsia" w:ascii="仿宋" w:hAnsi="仿宋" w:eastAsia="仿宋" w:cs="仿宋"/>
                <w:kern w:val="0"/>
                <w:sz w:val="30"/>
                <w:szCs w:val="30"/>
              </w:rPr>
              <w:t>制度体系建设滞后</w:t>
            </w:r>
          </w:p>
        </w:tc>
        <w:tc>
          <w:tcPr>
            <w:tcW w:w="1556" w:type="dxa"/>
            <w:vAlign w:val="center"/>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600" w:type="dxa"/>
          </w:tcPr>
          <w:p>
            <w:pPr>
              <w:spacing w:line="520" w:lineRule="exact"/>
              <w:jc w:val="left"/>
              <w:rPr>
                <w:rFonts w:ascii="仿宋" w:hAnsi="仿宋" w:eastAsia="仿宋" w:cs="仿宋"/>
                <w:kern w:val="0"/>
                <w:sz w:val="30"/>
                <w:szCs w:val="30"/>
              </w:rPr>
            </w:pPr>
            <w:r>
              <w:rPr>
                <w:rFonts w:hint="eastAsia" w:ascii="仿宋" w:hAnsi="仿宋" w:eastAsia="仿宋" w:cs="仿宋"/>
                <w:kern w:val="0"/>
                <w:sz w:val="30"/>
                <w:szCs w:val="30"/>
              </w:rPr>
              <w:t>D2 满意度</w:t>
            </w:r>
          </w:p>
        </w:tc>
        <w:tc>
          <w:tcPr>
            <w:tcW w:w="1591" w:type="dxa"/>
          </w:tcPr>
          <w:p>
            <w:pPr>
              <w:spacing w:line="520" w:lineRule="exact"/>
              <w:ind w:firstLine="360"/>
              <w:jc w:val="center"/>
              <w:rPr>
                <w:rFonts w:ascii="仿宋" w:hAnsi="仿宋" w:eastAsia="仿宋" w:cs="仿宋"/>
                <w:kern w:val="0"/>
                <w:sz w:val="30"/>
                <w:szCs w:val="30"/>
              </w:rPr>
            </w:pPr>
          </w:p>
        </w:tc>
        <w:tc>
          <w:tcPr>
            <w:tcW w:w="1811" w:type="dxa"/>
          </w:tcPr>
          <w:p>
            <w:pPr>
              <w:spacing w:line="520" w:lineRule="exact"/>
              <w:ind w:firstLine="360"/>
              <w:jc w:val="center"/>
              <w:rPr>
                <w:rFonts w:ascii="仿宋" w:hAnsi="仿宋" w:eastAsia="仿宋" w:cs="仿宋"/>
                <w:kern w:val="0"/>
                <w:sz w:val="30"/>
                <w:szCs w:val="30"/>
              </w:rPr>
            </w:pPr>
          </w:p>
        </w:tc>
        <w:tc>
          <w:tcPr>
            <w:tcW w:w="1556" w:type="dxa"/>
          </w:tcPr>
          <w:p>
            <w:pPr>
              <w:spacing w:line="520" w:lineRule="exact"/>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600" w:type="dxa"/>
          </w:tcPr>
          <w:p>
            <w:pPr>
              <w:spacing w:line="520" w:lineRule="exact"/>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D2.1 服务对象满意度</w:t>
            </w:r>
          </w:p>
        </w:tc>
        <w:tc>
          <w:tcPr>
            <w:tcW w:w="159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w:t>
            </w:r>
          </w:p>
        </w:tc>
        <w:tc>
          <w:tcPr>
            <w:tcW w:w="181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91.25%</w:t>
            </w:r>
          </w:p>
        </w:tc>
        <w:tc>
          <w:tcPr>
            <w:tcW w:w="1556"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3600"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591"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28</w:t>
            </w:r>
          </w:p>
        </w:tc>
        <w:tc>
          <w:tcPr>
            <w:tcW w:w="1811" w:type="dxa"/>
          </w:tcPr>
          <w:p>
            <w:pPr>
              <w:spacing w:line="520" w:lineRule="exact"/>
              <w:ind w:firstLine="360"/>
              <w:jc w:val="center"/>
              <w:rPr>
                <w:rFonts w:ascii="仿宋" w:hAnsi="仿宋" w:eastAsia="仿宋" w:cs="仿宋"/>
                <w:kern w:val="0"/>
                <w:sz w:val="30"/>
                <w:szCs w:val="30"/>
              </w:rPr>
            </w:pPr>
          </w:p>
        </w:tc>
        <w:tc>
          <w:tcPr>
            <w:tcW w:w="1556" w:type="dxa"/>
          </w:tcPr>
          <w:p>
            <w:pPr>
              <w:spacing w:line="520" w:lineRule="exact"/>
              <w:ind w:firstLine="360"/>
              <w:jc w:val="center"/>
              <w:rPr>
                <w:rFonts w:ascii="仿宋" w:hAnsi="仿宋" w:eastAsia="仿宋" w:cs="仿宋"/>
                <w:kern w:val="0"/>
                <w:sz w:val="30"/>
                <w:szCs w:val="30"/>
              </w:rPr>
            </w:pPr>
            <w:r>
              <w:rPr>
                <w:rFonts w:hint="eastAsia" w:ascii="仿宋" w:hAnsi="仿宋" w:eastAsia="仿宋" w:cs="仿宋"/>
                <w:kern w:val="0"/>
                <w:sz w:val="30"/>
                <w:szCs w:val="30"/>
              </w:rPr>
              <w:t>26.5</w:t>
            </w:r>
          </w:p>
        </w:tc>
      </w:tr>
    </w:tbl>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D1 履职效益</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D11经济效益</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部门整体支出产出的经济效益总体较好，经济效益目标值基本实现。</w:t>
      </w:r>
    </w:p>
    <w:p>
      <w:pPr>
        <w:pStyle w:val="2"/>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该项指标满分6分，根据评分标准得6分。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D12社会效益</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部门整体支出产出的社会效益总体较好，经济效益目标值基本实现。</w:t>
      </w:r>
    </w:p>
    <w:p>
      <w:pPr>
        <w:pStyle w:val="2"/>
        <w:spacing w:line="540" w:lineRule="exact"/>
        <w:ind w:firstLine="640"/>
        <w:rPr>
          <w:rFonts w:ascii="仿宋" w:hAnsi="仿宋" w:eastAsia="仿宋" w:cs="仿宋"/>
          <w:sz w:val="32"/>
          <w:szCs w:val="32"/>
          <w:highlight w:val="yellow"/>
        </w:rPr>
      </w:pPr>
      <w:r>
        <w:rPr>
          <w:rFonts w:hint="eastAsia" w:ascii="仿宋" w:hAnsi="仿宋" w:eastAsia="仿宋" w:cs="仿宋"/>
          <w:sz w:val="32"/>
          <w:szCs w:val="32"/>
        </w:rPr>
        <w:t>该项指标满分6分，根据评分标准得6分。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D13可持续影响</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部门整体支出产出的可持续影响总体较好，经济效益目标值基本实现取得诸多工作成效的同时，在强化单位自身建设工作方面，存在制度体系建设相对滞后的不足，在一定程度上，对部门履职能力的提升带来不利影响。因此，可持续影响目标值未完全实现。</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该项指标满分6分，根据评分标准得4.5分。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D2 满意度</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D21 服务对象满意度</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经评价小组与蓉江新区疾控中心商定，以蓉江新区疾控中心的服务对象满意度调查结果为参考，目标值设定为服务对象满意度≥90%，以该调查结果作为部门整体支出满意度指标的衡量依据。该项指标通过向服务对象做满意度调查，设置问题是“您对2022年蓉江新区疾控中心的服务总体上满意吗？”。满意度=（选择“非常满意”样本数+“满意”样本数×0.9+“一般”样本数 ×0.6+“不满意”样本数×0.3+“很不满意”样本数×0）/总样本数×100%=（44+35×0.9+8×0.6+0×0.3+1×0）/88×100%=91.25%。</w:t>
      </w:r>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因此，评价认为项目满意度指标实现目标值。</w:t>
      </w:r>
    </w:p>
    <w:p>
      <w:pPr>
        <w:pStyle w:val="2"/>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该项指标满分10分，根据评分标准得 10分。</w:t>
      </w:r>
    </w:p>
    <w:p/>
    <w:p>
      <w:pPr>
        <w:rPr>
          <w:rFonts w:hint="eastAsia" w:ascii="仿宋" w:hAnsi="仿宋" w:eastAsia="仿宋" w:cs="仿宋"/>
          <w:b/>
          <w:sz w:val="32"/>
          <w:szCs w:val="32"/>
          <w:lang w:val="en-US" w:eastAsia="zh-CN"/>
        </w:rPr>
      </w:pPr>
      <w:bookmarkStart w:id="68" w:name="_Toc2389"/>
      <w:bookmarkStart w:id="69" w:name="_Toc1375"/>
      <w:r>
        <w:rPr>
          <w:rFonts w:hint="eastAsia" w:ascii="仿宋" w:hAnsi="仿宋" w:eastAsia="仿宋" w:cs="仿宋"/>
          <w:b/>
          <w:sz w:val="32"/>
          <w:szCs w:val="32"/>
          <w:lang w:val="en-US" w:eastAsia="zh-CN"/>
        </w:rPr>
        <w:br w:type="page"/>
      </w:r>
    </w:p>
    <w:p>
      <w:pPr>
        <w:numPr>
          <w:ilvl w:val="0"/>
          <w:numId w:val="0"/>
        </w:numPr>
        <w:spacing w:line="540" w:lineRule="exact"/>
        <w:outlineLvl w:val="0"/>
        <w:rPr>
          <w:rFonts w:ascii="仿宋" w:hAnsi="仿宋" w:eastAsia="仿宋" w:cs="仿宋"/>
          <w:b/>
          <w:sz w:val="32"/>
          <w:szCs w:val="32"/>
        </w:rPr>
      </w:pPr>
      <w:r>
        <w:rPr>
          <w:rFonts w:hint="eastAsia" w:ascii="仿宋" w:hAnsi="仿宋" w:eastAsia="仿宋" w:cs="仿宋"/>
          <w:b/>
          <w:sz w:val="32"/>
          <w:szCs w:val="32"/>
          <w:lang w:val="en-US" w:eastAsia="zh-CN"/>
        </w:rPr>
        <w:t>四、</w:t>
      </w:r>
      <w:r>
        <w:rPr>
          <w:rFonts w:hint="eastAsia" w:ascii="仿宋" w:hAnsi="仿宋" w:eastAsia="仿宋" w:cs="仿宋"/>
          <w:b/>
          <w:sz w:val="32"/>
          <w:szCs w:val="32"/>
        </w:rPr>
        <w:t>绩效评价结论</w:t>
      </w:r>
      <w:bookmarkEnd w:id="68"/>
      <w:bookmarkEnd w:id="69"/>
    </w:p>
    <w:p>
      <w:pPr>
        <w:pStyle w:val="2"/>
        <w:spacing w:line="540" w:lineRule="exact"/>
        <w:ind w:firstLine="640"/>
        <w:rPr>
          <w:rFonts w:ascii="仿宋" w:hAnsi="仿宋" w:eastAsia="仿宋" w:cs="仿宋"/>
          <w:sz w:val="32"/>
          <w:szCs w:val="32"/>
        </w:rPr>
      </w:pPr>
      <w:r>
        <w:rPr>
          <w:rFonts w:hint="eastAsia" w:ascii="仿宋" w:hAnsi="仿宋" w:eastAsia="仿宋" w:cs="仿宋"/>
          <w:sz w:val="32"/>
          <w:szCs w:val="32"/>
        </w:rPr>
        <w:t>本次评价在资料查阅、现场调研及访谈基础上，对赣州蓉江新区疾病预防控制中心2022年度部门整体支出绩效进行逐项打分、客观评价，等级设为四档：90（含）-100分为优、80（含）-90分为良、60（含）-80分为中等、60分以下为差</w:t>
      </w:r>
      <w:r>
        <w:rPr>
          <w:rFonts w:hint="eastAsia" w:ascii="仿宋" w:hAnsi="仿宋" w:eastAsia="仿宋" w:cs="仿宋"/>
          <w:sz w:val="32"/>
          <w:szCs w:val="32"/>
          <w:lang w:eastAsia="zh-CN"/>
        </w:rPr>
        <w:t>。</w:t>
      </w:r>
      <w:r>
        <w:rPr>
          <w:rFonts w:hint="eastAsia" w:ascii="仿宋" w:hAnsi="仿宋" w:eastAsia="仿宋" w:cs="仿宋"/>
          <w:sz w:val="32"/>
          <w:szCs w:val="32"/>
        </w:rPr>
        <w:t>最终评分结果：</w:t>
      </w:r>
      <w:bookmarkStart w:id="70" w:name="_Toc1207"/>
      <w:bookmarkStart w:id="71" w:name="_Toc30724"/>
      <w:r>
        <w:rPr>
          <w:rFonts w:hint="eastAsia" w:ascii="仿宋" w:hAnsi="仿宋" w:eastAsia="仿宋" w:cs="仿宋"/>
          <w:sz w:val="32"/>
          <w:szCs w:val="32"/>
        </w:rPr>
        <w:t>总得分为 92.5分，绩效评级为“优”。</w:t>
      </w:r>
    </w:p>
    <w:p>
      <w:pPr>
        <w:spacing w:line="54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3"/>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371"/>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指标</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A.投入指标</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B.过程指标</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C.产出指标</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D.效果指标</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权重</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25</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28</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分值</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13</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21</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32</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26.5</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4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得分率</w:t>
            </w:r>
          </w:p>
        </w:tc>
        <w:tc>
          <w:tcPr>
            <w:tcW w:w="1371"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86.67%</w:t>
            </w:r>
          </w:p>
        </w:tc>
        <w:tc>
          <w:tcPr>
            <w:tcW w:w="1719"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84%</w:t>
            </w:r>
          </w:p>
        </w:tc>
        <w:tc>
          <w:tcPr>
            <w:tcW w:w="1594"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100%</w:t>
            </w:r>
          </w:p>
        </w:tc>
        <w:tc>
          <w:tcPr>
            <w:tcW w:w="1482"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94.64%</w:t>
            </w:r>
          </w:p>
        </w:tc>
        <w:tc>
          <w:tcPr>
            <w:tcW w:w="1250" w:type="dxa"/>
            <w:vAlign w:val="center"/>
          </w:tcPr>
          <w:p>
            <w:pPr>
              <w:spacing w:line="540" w:lineRule="exact"/>
              <w:jc w:val="center"/>
              <w:rPr>
                <w:rFonts w:ascii="仿宋" w:hAnsi="仿宋" w:eastAsia="仿宋" w:cs="仿宋"/>
                <w:kern w:val="0"/>
                <w:sz w:val="32"/>
                <w:szCs w:val="32"/>
              </w:rPr>
            </w:pPr>
            <w:r>
              <w:rPr>
                <w:rFonts w:hint="eastAsia" w:ascii="仿宋" w:hAnsi="仿宋" w:eastAsia="仿宋" w:cs="仿宋"/>
                <w:kern w:val="0"/>
                <w:sz w:val="32"/>
                <w:szCs w:val="32"/>
              </w:rPr>
              <w:t>92.5%</w:t>
            </w:r>
          </w:p>
        </w:tc>
      </w:tr>
    </w:tbl>
    <w:p>
      <w:pPr>
        <w:bidi w:val="0"/>
        <w:rPr>
          <w:rFonts w:hint="eastAsia"/>
          <w:lang w:val="en-US" w:eastAsia="zh-CN"/>
        </w:rPr>
      </w:pPr>
    </w:p>
    <w:p>
      <w:pPr>
        <w:pStyle w:val="2"/>
        <w:spacing w:line="540" w:lineRule="exact"/>
        <w:ind w:left="0" w:leftChars="0" w:firstLine="0" w:firstLineChars="0"/>
        <w:outlineLvl w:val="0"/>
        <w:rPr>
          <w:rFonts w:hint="eastAsia" w:ascii="仿宋" w:hAnsi="仿宋" w:eastAsia="仿宋" w:cs="仿宋"/>
          <w:b/>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、存在的问题和建议</w:t>
      </w:r>
      <w:bookmarkEnd w:id="70"/>
      <w:bookmarkEnd w:id="71"/>
    </w:p>
    <w:p/>
    <w:p>
      <w:pPr>
        <w:spacing w:line="520" w:lineRule="exact"/>
        <w:outlineLvl w:val="1"/>
        <w:rPr>
          <w:rFonts w:hint="eastAsia" w:ascii="仿宋" w:hAnsi="仿宋" w:eastAsia="仿宋" w:cs="仿宋"/>
          <w:b/>
          <w:sz w:val="32"/>
          <w:szCs w:val="32"/>
        </w:rPr>
      </w:pPr>
      <w:bookmarkStart w:id="72" w:name="_Toc5351"/>
      <w:bookmarkStart w:id="73" w:name="_Toc17409"/>
      <w:r>
        <w:rPr>
          <w:rFonts w:hint="eastAsia" w:ascii="仿宋" w:hAnsi="仿宋" w:eastAsia="仿宋" w:cs="仿宋"/>
          <w:b/>
          <w:sz w:val="32"/>
          <w:szCs w:val="32"/>
        </w:rPr>
        <w:t>5.1存在的问题</w:t>
      </w:r>
      <w:bookmarkEnd w:id="72"/>
      <w:bookmarkEnd w:id="73"/>
    </w:p>
    <w:p>
      <w:pPr>
        <w:pStyle w:val="2"/>
      </w:pPr>
    </w:p>
    <w:p>
      <w:pPr>
        <w:spacing w:line="520" w:lineRule="exact"/>
        <w:jc w:val="left"/>
        <w:outlineLvl w:val="2"/>
        <w:rPr>
          <w:rFonts w:ascii="仿宋" w:hAnsi="仿宋" w:eastAsia="仿宋" w:cs="仿宋"/>
          <w:b/>
          <w:sz w:val="32"/>
          <w:szCs w:val="32"/>
        </w:rPr>
      </w:pPr>
      <w:bookmarkStart w:id="74" w:name="_Toc10162"/>
      <w:bookmarkStart w:id="75" w:name="_Toc6617"/>
      <w:r>
        <w:rPr>
          <w:rFonts w:hint="eastAsia" w:ascii="仿宋" w:hAnsi="仿宋" w:eastAsia="仿宋" w:cs="仿宋"/>
          <w:b/>
          <w:sz w:val="32"/>
          <w:szCs w:val="32"/>
        </w:rPr>
        <w:t>5.1.1预算绩效目标管理工作方面存在不足</w:t>
      </w:r>
      <w:bookmarkEnd w:id="74"/>
      <w:bookmarkEnd w:id="75"/>
    </w:p>
    <w:p>
      <w:pPr>
        <w:spacing w:line="520" w:lineRule="exact"/>
        <w:ind w:firstLine="573"/>
        <w:jc w:val="left"/>
        <w:rPr>
          <w:rFonts w:hint="eastAsia" w:ascii="仿宋" w:hAnsi="仿宋" w:eastAsia="仿宋" w:cs="仿宋"/>
          <w:sz w:val="32"/>
          <w:szCs w:val="32"/>
        </w:rPr>
      </w:pPr>
      <w:r>
        <w:rPr>
          <w:rFonts w:hint="eastAsia" w:ascii="仿宋" w:hAnsi="仿宋" w:eastAsia="仿宋" w:cs="仿宋"/>
          <w:sz w:val="32"/>
          <w:szCs w:val="32"/>
        </w:rPr>
        <w:t>绩效目标管理工作有待改善，存在绩效指标设立明确性不足、量化不足、科学合理性不够的情形。比照《赣州市预算绩效管理暂行办法》第四章第十一条“编报的绩效目标要能清晰反映项目决策、项目和资金管理、产出和效益；指标内涵应当明确、具体、可衡量，指标值应当科学合理、符合标准”的文件要求，蓉江新区疾控中心设置的“成本指标”为可量化指标未充分量化。同时，部分指标设置不合理，也无法体现与本年度部门预算资金的匹配性。</w:t>
      </w:r>
    </w:p>
    <w:p>
      <w:pPr>
        <w:pStyle w:val="2"/>
      </w:pPr>
    </w:p>
    <w:p>
      <w:pPr>
        <w:pStyle w:val="2"/>
        <w:spacing w:line="520" w:lineRule="exact"/>
        <w:ind w:firstLine="0" w:firstLineChars="0"/>
        <w:outlineLvl w:val="2"/>
        <w:rPr>
          <w:rFonts w:ascii="仿宋" w:hAnsi="仿宋" w:eastAsia="仿宋" w:cs="仿宋"/>
          <w:b/>
          <w:sz w:val="32"/>
          <w:szCs w:val="32"/>
        </w:rPr>
      </w:pPr>
      <w:bookmarkStart w:id="76" w:name="_Toc2545"/>
      <w:bookmarkStart w:id="77" w:name="_Toc20388"/>
      <w:r>
        <w:rPr>
          <w:rFonts w:hint="eastAsia" w:ascii="仿宋" w:hAnsi="仿宋" w:eastAsia="仿宋" w:cs="仿宋"/>
          <w:b/>
          <w:sz w:val="32"/>
          <w:szCs w:val="32"/>
        </w:rPr>
        <w:t>5.1.2预算绩效运行监控管理工作方面有待提高</w:t>
      </w:r>
      <w:bookmarkEnd w:id="76"/>
      <w:bookmarkEnd w:id="77"/>
    </w:p>
    <w:p>
      <w:pPr>
        <w:widowControl/>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根据《赣州市预算绩效管理暂行办法》第五章第十六条“绩效监控是指在预算执行过程中，预算部门（单位）依照职责，对预算执行情况和绩效目标实现程度开展的监督、 控制和管理活动。”、第十七条 “按照“谁支出，谁负责”的原则，各部门（单位）负责开展预算绩效日常监控，并定期对绩效监控信息进行收集、审核、分析、汇总、填报；分析偏离绩效目标的原因，并及时采取纠偏措施。”的规定，蓉江新区疾控中心在预算执行过程中，存在一定的对项目支出监控不够细致、监控信息收集不够全面的情况。</w:t>
      </w:r>
    </w:p>
    <w:p>
      <w:pPr>
        <w:pStyle w:val="2"/>
      </w:pPr>
    </w:p>
    <w:p>
      <w:pPr>
        <w:pStyle w:val="2"/>
        <w:spacing w:line="520" w:lineRule="exact"/>
        <w:ind w:firstLine="0" w:firstLineChars="0"/>
        <w:outlineLvl w:val="2"/>
        <w:rPr>
          <w:rFonts w:ascii="仿宋" w:hAnsi="仿宋" w:eastAsia="仿宋" w:cs="仿宋"/>
          <w:b/>
          <w:sz w:val="32"/>
          <w:szCs w:val="32"/>
        </w:rPr>
      </w:pPr>
      <w:bookmarkStart w:id="78" w:name="_Toc25995"/>
      <w:bookmarkStart w:id="79" w:name="_Toc7827"/>
      <w:r>
        <w:rPr>
          <w:rFonts w:hint="eastAsia" w:ascii="仿宋" w:hAnsi="仿宋" w:eastAsia="仿宋" w:cs="仿宋"/>
          <w:b/>
          <w:sz w:val="32"/>
          <w:szCs w:val="32"/>
        </w:rPr>
        <w:t>5.1.3预算绩效评价管理工作方面有待完善</w:t>
      </w:r>
      <w:bookmarkEnd w:id="78"/>
      <w:bookmarkEnd w:id="79"/>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存在评价结果与预设目标不对应，部分评价数据不明确、不具体，部分评价依据不充分的情形。比照《赣州市预算绩效管理暂行办法》第六章第二十一条“绩效评价是依据设定的绩效目标，对财政支出的经济性、效率性、效益性和公平性进行客观、公正的测量、分析和评判”的规定，蓉江新区疾控中心未能提供整体支出绩效自评表，自评报告显示结果与预设绩效目标不匹配对应，显示的部分可量化业绩值未取得确定的数据，部分量化业绩值未提供数据来源或无法提供佐证资料。</w:t>
      </w:r>
    </w:p>
    <w:p/>
    <w:p>
      <w:pPr>
        <w:pStyle w:val="2"/>
        <w:spacing w:line="520" w:lineRule="exact"/>
        <w:ind w:firstLine="0" w:firstLineChars="0"/>
        <w:outlineLvl w:val="2"/>
        <w:rPr>
          <w:rFonts w:ascii="仿宋" w:hAnsi="仿宋" w:eastAsia="仿宋" w:cs="仿宋"/>
          <w:b/>
          <w:sz w:val="32"/>
          <w:szCs w:val="32"/>
        </w:rPr>
      </w:pPr>
      <w:bookmarkStart w:id="80" w:name="_Toc15951"/>
      <w:bookmarkStart w:id="81" w:name="_Toc19678"/>
      <w:r>
        <w:rPr>
          <w:rFonts w:hint="eastAsia" w:ascii="仿宋" w:hAnsi="仿宋" w:eastAsia="仿宋" w:cs="仿宋"/>
          <w:b/>
          <w:sz w:val="32"/>
          <w:szCs w:val="32"/>
        </w:rPr>
        <w:t>5.1.4管理制度体系有待完善、制度执行有待加强</w:t>
      </w:r>
      <w:bookmarkEnd w:id="80"/>
      <w:bookmarkEnd w:id="81"/>
    </w:p>
    <w:p>
      <w:pPr>
        <w:pStyle w:val="2"/>
        <w:spacing w:line="520" w:lineRule="exact"/>
        <w:ind w:firstLine="640"/>
        <w:rPr>
          <w:rFonts w:ascii="仿宋" w:hAnsi="仿宋" w:eastAsia="仿宋" w:cs="仿宋"/>
          <w:sz w:val="32"/>
          <w:szCs w:val="32"/>
          <w:highlight w:val="yellow"/>
        </w:rPr>
      </w:pPr>
      <w:r>
        <w:rPr>
          <w:rFonts w:hint="eastAsia" w:ascii="仿宋" w:hAnsi="仿宋" w:eastAsia="仿宋" w:cs="仿宋"/>
          <w:sz w:val="32"/>
          <w:szCs w:val="32"/>
        </w:rPr>
        <w:t>蓉江新区疾控中心提供了部门财务管理制度，制度涵盖了资金管理、收入管理、支出管理和资产管理等各个方面，制度的细化程度略显不足；在资产管理方面，未切实执行如定期资产盘点等保障资产安全性、提高资产使用效率的相关制度。</w:t>
      </w:r>
    </w:p>
    <w:p>
      <w:pPr>
        <w:spacing w:line="520" w:lineRule="exact"/>
        <w:outlineLvl w:val="1"/>
        <w:rPr>
          <w:rFonts w:hint="eastAsia" w:ascii="仿宋" w:hAnsi="仿宋" w:eastAsia="仿宋" w:cs="仿宋"/>
          <w:b/>
          <w:sz w:val="32"/>
          <w:szCs w:val="32"/>
        </w:rPr>
      </w:pPr>
      <w:bookmarkStart w:id="82" w:name="_Toc7648"/>
      <w:bookmarkStart w:id="83" w:name="_Toc27799"/>
      <w:r>
        <w:rPr>
          <w:rFonts w:hint="eastAsia" w:ascii="仿宋" w:hAnsi="仿宋" w:eastAsia="仿宋" w:cs="仿宋"/>
          <w:b/>
          <w:sz w:val="32"/>
          <w:szCs w:val="32"/>
        </w:rPr>
        <w:t>5.2改进措施和建议</w:t>
      </w:r>
      <w:bookmarkEnd w:id="82"/>
      <w:bookmarkEnd w:id="83"/>
    </w:p>
    <w:p>
      <w:pPr>
        <w:pStyle w:val="2"/>
      </w:pPr>
    </w:p>
    <w:p>
      <w:pPr>
        <w:spacing w:line="520" w:lineRule="exact"/>
        <w:outlineLvl w:val="2"/>
        <w:rPr>
          <w:rFonts w:ascii="仿宋" w:hAnsi="仿宋" w:eastAsia="仿宋" w:cs="仿宋"/>
          <w:b/>
          <w:sz w:val="32"/>
          <w:szCs w:val="32"/>
        </w:rPr>
      </w:pPr>
      <w:bookmarkStart w:id="84" w:name="_Toc13"/>
      <w:bookmarkStart w:id="85" w:name="_Toc30836"/>
      <w:r>
        <w:rPr>
          <w:rFonts w:hint="eastAsia" w:ascii="仿宋" w:hAnsi="仿宋" w:eastAsia="仿宋" w:cs="仿宋"/>
          <w:b/>
          <w:sz w:val="32"/>
          <w:szCs w:val="32"/>
        </w:rPr>
        <w:t>5.2.1逐步建立和完善预算绩效管理体系</w:t>
      </w:r>
      <w:bookmarkEnd w:id="84"/>
      <w:bookmarkEnd w:id="85"/>
    </w:p>
    <w:p>
      <w:pPr>
        <w:pStyle w:val="2"/>
        <w:spacing w:line="520" w:lineRule="exact"/>
        <w:ind w:firstLine="640"/>
        <w:rPr>
          <w:rFonts w:hint="eastAsia" w:ascii="仿宋" w:hAnsi="仿宋" w:eastAsia="仿宋" w:cs="仿宋"/>
          <w:sz w:val="32"/>
          <w:szCs w:val="32"/>
        </w:rPr>
      </w:pPr>
      <w:r>
        <w:rPr>
          <w:rFonts w:hint="eastAsia" w:ascii="仿宋" w:hAnsi="仿宋" w:eastAsia="仿宋" w:cs="仿宋"/>
          <w:sz w:val="32"/>
          <w:szCs w:val="32"/>
        </w:rPr>
        <w:t>在逐步建立预算绩效管理制度体系的基础上，根据部门职能和实际情况，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
      <w:pPr>
        <w:outlineLvl w:val="2"/>
        <w:rPr>
          <w:rFonts w:ascii="仿宋" w:hAnsi="仿宋" w:eastAsia="仿宋" w:cs="仿宋"/>
          <w:b/>
          <w:sz w:val="32"/>
          <w:szCs w:val="32"/>
        </w:rPr>
      </w:pPr>
      <w:bookmarkStart w:id="86" w:name="_Toc26193"/>
      <w:bookmarkStart w:id="87" w:name="_Toc22133"/>
      <w:r>
        <w:rPr>
          <w:rFonts w:hint="eastAsia" w:ascii="仿宋" w:hAnsi="仿宋" w:eastAsia="仿宋" w:cs="仿宋"/>
          <w:b/>
          <w:sz w:val="32"/>
          <w:szCs w:val="32"/>
        </w:rPr>
        <w:t>5.2.2加强制度管理体系建设及制度的落实</w:t>
      </w:r>
      <w:bookmarkEnd w:id="86"/>
      <w:bookmarkEnd w:id="87"/>
    </w:p>
    <w:p>
      <w:pPr>
        <w:pStyle w:val="11"/>
        <w:widowControl/>
        <w:spacing w:line="520" w:lineRule="exact"/>
        <w:ind w:firstLine="539"/>
        <w:textAlignment w:val="baseline"/>
        <w:rPr>
          <w:rFonts w:ascii="仿宋" w:hAnsi="仿宋" w:eastAsia="仿宋" w:cs="仿宋"/>
          <w:sz w:val="32"/>
          <w:szCs w:val="32"/>
        </w:rPr>
      </w:pPr>
      <w:r>
        <w:rPr>
          <w:rFonts w:hint="eastAsia" w:ascii="仿宋" w:hAnsi="仿宋" w:eastAsia="仿宋" w:cs="仿宋"/>
          <w:sz w:val="32"/>
          <w:szCs w:val="32"/>
        </w:rPr>
        <w:t>在充分结合部门实际情况的基础上，进一步完善相关管理制度，如：建立健全专门的预算资金管理办法、预算绩效管理办法，完善组织机构、明确人员分工，做到责任到人；并抓好制度的落实，加强对相关制度执行的监督管理</w:t>
      </w:r>
      <w:r>
        <w:rPr>
          <w:rFonts w:ascii="仿宋" w:hAnsi="仿宋" w:eastAsia="仿宋" w:cs="仿宋"/>
          <w:sz w:val="32"/>
          <w:szCs w:val="32"/>
        </w:rPr>
        <w:t>。</w:t>
      </w:r>
    </w:p>
    <w:p>
      <w:pPr>
        <w:bidi w:val="0"/>
        <w:rPr>
          <w:rFonts w:hint="eastAsia"/>
          <w:lang w:val="en-US" w:eastAsia="zh-CN"/>
        </w:rPr>
      </w:pPr>
      <w:bookmarkStart w:id="88" w:name="_Toc9940"/>
      <w:bookmarkStart w:id="89" w:name="_Toc1266"/>
    </w:p>
    <w:p>
      <w:pPr>
        <w:spacing w:line="520" w:lineRule="exact"/>
        <w:outlineLvl w:val="0"/>
        <w:rPr>
          <w:rFonts w:ascii="仿宋" w:hAnsi="仿宋" w:eastAsia="仿宋" w:cs="仿宋"/>
          <w:b/>
          <w:sz w:val="32"/>
          <w:szCs w:val="32"/>
        </w:rPr>
      </w:pPr>
      <w:r>
        <w:rPr>
          <w:rFonts w:hint="eastAsia" w:ascii="仿宋" w:hAnsi="仿宋" w:eastAsia="仿宋" w:cs="仿宋"/>
          <w:b/>
          <w:sz w:val="32"/>
          <w:szCs w:val="32"/>
          <w:lang w:val="en-US" w:eastAsia="zh-CN"/>
        </w:rPr>
        <w:t>六</w:t>
      </w:r>
      <w:r>
        <w:rPr>
          <w:rFonts w:hint="eastAsia" w:ascii="仿宋" w:hAnsi="仿宋" w:eastAsia="仿宋" w:cs="仿宋"/>
          <w:b/>
          <w:sz w:val="32"/>
          <w:szCs w:val="32"/>
        </w:rPr>
        <w:t>、其他事项说明</w:t>
      </w:r>
      <w:bookmarkEnd w:id="88"/>
      <w:bookmarkEnd w:id="89"/>
    </w:p>
    <w:p>
      <w:pPr>
        <w:spacing w:line="520" w:lineRule="exact"/>
        <w:ind w:firstLine="560"/>
        <w:jc w:val="left"/>
        <w:rPr>
          <w:rFonts w:ascii="仿宋" w:hAnsi="仿宋" w:eastAsia="仿宋" w:cs="仿宋"/>
          <w:sz w:val="32"/>
          <w:szCs w:val="32"/>
        </w:rPr>
      </w:pPr>
      <w:r>
        <w:rPr>
          <w:rFonts w:hint="eastAsia" w:ascii="仿宋" w:hAnsi="仿宋" w:eastAsia="仿宋" w:cs="仿宋"/>
          <w:sz w:val="32"/>
          <w:szCs w:val="32"/>
        </w:rPr>
        <w:t>（1）本绩效评价报告是在部门单位提供资料的基础上形成的。</w:t>
      </w:r>
    </w:p>
    <w:p>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（2）本绩效评价报告仅供赣州蓉江新区财政局开展“</w:t>
      </w:r>
      <w:r>
        <w:rPr>
          <w:rFonts w:hint="eastAsia" w:ascii="仿宋" w:hAnsi="仿宋" w:eastAsia="仿宋"/>
          <w:sz w:val="32"/>
          <w:szCs w:val="32"/>
        </w:rPr>
        <w:t>赣州蓉江新区疾病预防控制中心2022年度部门整体支出</w:t>
      </w:r>
      <w:r>
        <w:rPr>
          <w:rFonts w:hint="eastAsia" w:ascii="仿宋" w:hAnsi="仿宋" w:eastAsia="仿宋" w:cs="仿宋"/>
          <w:sz w:val="32"/>
          <w:szCs w:val="32"/>
        </w:rPr>
        <w:t>”绩效评价相关工作使用，不作他用。</w:t>
      </w:r>
    </w:p>
    <w:p>
      <w:pPr>
        <w:pStyle w:val="2"/>
        <w:rPr>
          <w:rFonts w:hint="eastAsia" w:ascii="仿宋" w:hAnsi="仿宋" w:eastAsia="仿宋" w:cs="仿宋"/>
          <w:sz w:val="32"/>
          <w:szCs w:val="32"/>
        </w:rPr>
      </w:pPr>
    </w:p>
    <w:p>
      <w:pPr>
        <w:rPr>
          <w:rFonts w:hint="eastAsia" w:ascii="仿宋" w:hAnsi="仿宋" w:eastAsia="仿宋" w:cs="仿宋"/>
          <w:sz w:val="32"/>
          <w:szCs w:val="32"/>
        </w:rPr>
      </w:pPr>
    </w:p>
    <w:p>
      <w:pPr>
        <w:spacing w:line="366" w:lineRule="exact"/>
        <w:jc w:val="right"/>
        <w:rPr>
          <w:rFonts w:hint="eastAsia" w:ascii="仿宋" w:hAnsi="仿宋" w:eastAsia="仿宋" w:cs="仿宋"/>
          <w:color w:val="auto"/>
          <w:sz w:val="32"/>
          <w:szCs w:val="32"/>
          <w:highlight w:val="yellow"/>
        </w:rPr>
      </w:pPr>
      <w:r>
        <w:rPr>
          <w:rFonts w:hint="eastAsia" w:ascii="仿宋" w:hAnsi="仿宋" w:eastAsia="仿宋"/>
          <w:sz w:val="32"/>
          <w:szCs w:val="32"/>
        </w:rPr>
        <w:t>国众联资产评估土地房地产估价有限公司</w:t>
      </w:r>
    </w:p>
    <w:p>
      <w:pPr>
        <w:widowControl/>
        <w:shd w:val="clear" w:color="auto" w:fill="FFFFFF"/>
        <w:spacing w:line="360" w:lineRule="atLeast"/>
        <w:ind w:left="480"/>
        <w:jc w:val="right"/>
        <w:textAlignment w:val="baseline"/>
        <w:rPr>
          <w:rFonts w:ascii="仿宋" w:hAnsi="仿宋" w:eastAsia="仿宋"/>
          <w:sz w:val="32"/>
          <w:szCs w:val="32"/>
        </w:rPr>
      </w:pPr>
      <w:r>
        <w:rPr>
          <w:rFonts w:hint="eastAsia" w:ascii="仿宋" w:hAnsi="仿宋" w:eastAsia="仿宋" w:cs="仿宋"/>
          <w:color w:val="auto"/>
          <w:sz w:val="32"/>
          <w:szCs w:val="32"/>
          <w:highlight w:val="none"/>
        </w:rPr>
        <w:t>202</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 xml:space="preserve"> 年 </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 xml:space="preserve"> 月 </w:t>
      </w:r>
      <w:r>
        <w:rPr>
          <w:rFonts w:hint="eastAsia" w:ascii="仿宋" w:hAnsi="仿宋" w:eastAsia="仿宋" w:cs="仿宋"/>
          <w:color w:val="auto"/>
          <w:sz w:val="32"/>
          <w:szCs w:val="32"/>
          <w:highlight w:val="none"/>
          <w:lang w:val="en-US" w:eastAsia="zh-CN"/>
        </w:rPr>
        <w:t>31</w:t>
      </w:r>
      <w:bookmarkStart w:id="90" w:name="_GoBack"/>
      <w:bookmarkEnd w:id="90"/>
      <w:r>
        <w:rPr>
          <w:rFonts w:hint="eastAsia" w:ascii="仿宋" w:hAnsi="仿宋" w:eastAsia="仿宋" w:cs="仿宋"/>
          <w:color w:val="auto"/>
          <w:sz w:val="32"/>
          <w:szCs w:val="32"/>
          <w:highlight w:val="none"/>
          <w:lang w:val="en-US" w:eastAsia="zh-CN"/>
        </w:rPr>
        <w:t>日</w:t>
      </w:r>
    </w:p>
    <w:p>
      <w:pPr>
        <w:pStyle w:val="2"/>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center"/>
    </w:pPr>
    <w:r>
      <w:rPr>
        <w:rFonts w:hint="eastAsia"/>
      </w:rPr>
      <w:t>赣州蓉江新区疾病预防控制中心2022年度部门整体支出绩效评价报告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WIwZjg5ODFkNjdjN2ZkM2E5YTZlZmJlNDNiZjAifQ=="/>
  </w:docVars>
  <w:rsids>
    <w:rsidRoot w:val="003E6AC9"/>
    <w:rsid w:val="00000C5C"/>
    <w:rsid w:val="00000F17"/>
    <w:rsid w:val="00007048"/>
    <w:rsid w:val="00010E2E"/>
    <w:rsid w:val="00013E22"/>
    <w:rsid w:val="00016B53"/>
    <w:rsid w:val="00017E5B"/>
    <w:rsid w:val="00017EC5"/>
    <w:rsid w:val="000211FB"/>
    <w:rsid w:val="000213DE"/>
    <w:rsid w:val="000216FC"/>
    <w:rsid w:val="00022FC5"/>
    <w:rsid w:val="00022FCF"/>
    <w:rsid w:val="00024802"/>
    <w:rsid w:val="0002572B"/>
    <w:rsid w:val="00026CAA"/>
    <w:rsid w:val="0002702D"/>
    <w:rsid w:val="000305BD"/>
    <w:rsid w:val="000342F5"/>
    <w:rsid w:val="00034586"/>
    <w:rsid w:val="00035EEF"/>
    <w:rsid w:val="000361F4"/>
    <w:rsid w:val="00036CBF"/>
    <w:rsid w:val="000371C4"/>
    <w:rsid w:val="00042EC7"/>
    <w:rsid w:val="000447FC"/>
    <w:rsid w:val="00044A17"/>
    <w:rsid w:val="0004516C"/>
    <w:rsid w:val="0004595C"/>
    <w:rsid w:val="00045E90"/>
    <w:rsid w:val="0004698F"/>
    <w:rsid w:val="00047148"/>
    <w:rsid w:val="00047377"/>
    <w:rsid w:val="00047842"/>
    <w:rsid w:val="000507FE"/>
    <w:rsid w:val="00051A19"/>
    <w:rsid w:val="0005279D"/>
    <w:rsid w:val="00053F93"/>
    <w:rsid w:val="00054439"/>
    <w:rsid w:val="00054A1C"/>
    <w:rsid w:val="00054BB9"/>
    <w:rsid w:val="00055A34"/>
    <w:rsid w:val="000562FE"/>
    <w:rsid w:val="00057EDC"/>
    <w:rsid w:val="000605AD"/>
    <w:rsid w:val="00060ACB"/>
    <w:rsid w:val="00060F71"/>
    <w:rsid w:val="00061645"/>
    <w:rsid w:val="00061A32"/>
    <w:rsid w:val="00061B07"/>
    <w:rsid w:val="0006247E"/>
    <w:rsid w:val="00062ACA"/>
    <w:rsid w:val="000656B8"/>
    <w:rsid w:val="00065EEF"/>
    <w:rsid w:val="0006729D"/>
    <w:rsid w:val="00067EDB"/>
    <w:rsid w:val="00067FD4"/>
    <w:rsid w:val="00072F36"/>
    <w:rsid w:val="00073C81"/>
    <w:rsid w:val="00073E18"/>
    <w:rsid w:val="000742A1"/>
    <w:rsid w:val="00074A0C"/>
    <w:rsid w:val="00074C59"/>
    <w:rsid w:val="00074D47"/>
    <w:rsid w:val="00076980"/>
    <w:rsid w:val="00076AEF"/>
    <w:rsid w:val="00077042"/>
    <w:rsid w:val="000801C4"/>
    <w:rsid w:val="00080612"/>
    <w:rsid w:val="00082918"/>
    <w:rsid w:val="00083114"/>
    <w:rsid w:val="000841E7"/>
    <w:rsid w:val="000847DF"/>
    <w:rsid w:val="00087608"/>
    <w:rsid w:val="000876EF"/>
    <w:rsid w:val="00087741"/>
    <w:rsid w:val="0009094B"/>
    <w:rsid w:val="00090A71"/>
    <w:rsid w:val="00092299"/>
    <w:rsid w:val="000931A9"/>
    <w:rsid w:val="00093CFC"/>
    <w:rsid w:val="00094098"/>
    <w:rsid w:val="000954D5"/>
    <w:rsid w:val="000974C8"/>
    <w:rsid w:val="00097EC2"/>
    <w:rsid w:val="000A17FF"/>
    <w:rsid w:val="000A21A2"/>
    <w:rsid w:val="000A2BF8"/>
    <w:rsid w:val="000A39A6"/>
    <w:rsid w:val="000A6717"/>
    <w:rsid w:val="000A6FC4"/>
    <w:rsid w:val="000A73C3"/>
    <w:rsid w:val="000B1F31"/>
    <w:rsid w:val="000B200B"/>
    <w:rsid w:val="000B3F53"/>
    <w:rsid w:val="000B458A"/>
    <w:rsid w:val="000B4CE2"/>
    <w:rsid w:val="000C2138"/>
    <w:rsid w:val="000C2670"/>
    <w:rsid w:val="000C3059"/>
    <w:rsid w:val="000C56E7"/>
    <w:rsid w:val="000C580A"/>
    <w:rsid w:val="000C6232"/>
    <w:rsid w:val="000C7049"/>
    <w:rsid w:val="000C7C66"/>
    <w:rsid w:val="000D06B4"/>
    <w:rsid w:val="000D3327"/>
    <w:rsid w:val="000D37C7"/>
    <w:rsid w:val="000D75A9"/>
    <w:rsid w:val="000E1230"/>
    <w:rsid w:val="000E131A"/>
    <w:rsid w:val="000E2044"/>
    <w:rsid w:val="000E2068"/>
    <w:rsid w:val="000E20BE"/>
    <w:rsid w:val="000E42E5"/>
    <w:rsid w:val="000E4414"/>
    <w:rsid w:val="000E5CB4"/>
    <w:rsid w:val="000F0F7E"/>
    <w:rsid w:val="000F1884"/>
    <w:rsid w:val="000F20CF"/>
    <w:rsid w:val="000F26CE"/>
    <w:rsid w:val="000F492E"/>
    <w:rsid w:val="000F6A79"/>
    <w:rsid w:val="000F75C4"/>
    <w:rsid w:val="000F7A99"/>
    <w:rsid w:val="001008C5"/>
    <w:rsid w:val="00100916"/>
    <w:rsid w:val="00101F23"/>
    <w:rsid w:val="001028B3"/>
    <w:rsid w:val="0010337B"/>
    <w:rsid w:val="0010407E"/>
    <w:rsid w:val="00105C79"/>
    <w:rsid w:val="00110EC6"/>
    <w:rsid w:val="00112806"/>
    <w:rsid w:val="001134DC"/>
    <w:rsid w:val="001138B5"/>
    <w:rsid w:val="00113A1E"/>
    <w:rsid w:val="00113E31"/>
    <w:rsid w:val="0011699A"/>
    <w:rsid w:val="0011783B"/>
    <w:rsid w:val="0011784E"/>
    <w:rsid w:val="00117B39"/>
    <w:rsid w:val="0012003C"/>
    <w:rsid w:val="00121596"/>
    <w:rsid w:val="00122686"/>
    <w:rsid w:val="00123059"/>
    <w:rsid w:val="00125649"/>
    <w:rsid w:val="00126F13"/>
    <w:rsid w:val="00130097"/>
    <w:rsid w:val="00132A42"/>
    <w:rsid w:val="00132D6C"/>
    <w:rsid w:val="00134488"/>
    <w:rsid w:val="00134803"/>
    <w:rsid w:val="001358B8"/>
    <w:rsid w:val="00136D1E"/>
    <w:rsid w:val="001371FA"/>
    <w:rsid w:val="00137346"/>
    <w:rsid w:val="00140A0E"/>
    <w:rsid w:val="00141DFD"/>
    <w:rsid w:val="00141F8B"/>
    <w:rsid w:val="00143AF1"/>
    <w:rsid w:val="00143CC0"/>
    <w:rsid w:val="00143CE6"/>
    <w:rsid w:val="00146E13"/>
    <w:rsid w:val="00147068"/>
    <w:rsid w:val="00147075"/>
    <w:rsid w:val="001475D1"/>
    <w:rsid w:val="00151A0B"/>
    <w:rsid w:val="00152F8A"/>
    <w:rsid w:val="00154A51"/>
    <w:rsid w:val="00154BE7"/>
    <w:rsid w:val="0015659C"/>
    <w:rsid w:val="0015759A"/>
    <w:rsid w:val="0015768D"/>
    <w:rsid w:val="00160D27"/>
    <w:rsid w:val="00162692"/>
    <w:rsid w:val="001632CD"/>
    <w:rsid w:val="001660BA"/>
    <w:rsid w:val="001663E6"/>
    <w:rsid w:val="00167753"/>
    <w:rsid w:val="00167E6F"/>
    <w:rsid w:val="00171520"/>
    <w:rsid w:val="001724E2"/>
    <w:rsid w:val="00172BD8"/>
    <w:rsid w:val="001755B3"/>
    <w:rsid w:val="00176731"/>
    <w:rsid w:val="00176BCE"/>
    <w:rsid w:val="00177013"/>
    <w:rsid w:val="00183022"/>
    <w:rsid w:val="00185AC7"/>
    <w:rsid w:val="00186BD3"/>
    <w:rsid w:val="00187EED"/>
    <w:rsid w:val="00187FD0"/>
    <w:rsid w:val="00191F87"/>
    <w:rsid w:val="00194AC6"/>
    <w:rsid w:val="00194B9B"/>
    <w:rsid w:val="00195E00"/>
    <w:rsid w:val="00197568"/>
    <w:rsid w:val="001A09F7"/>
    <w:rsid w:val="001A3210"/>
    <w:rsid w:val="001A3281"/>
    <w:rsid w:val="001A359B"/>
    <w:rsid w:val="001A38D1"/>
    <w:rsid w:val="001A4822"/>
    <w:rsid w:val="001A524E"/>
    <w:rsid w:val="001A5E15"/>
    <w:rsid w:val="001A63FF"/>
    <w:rsid w:val="001A6CE3"/>
    <w:rsid w:val="001A6EF4"/>
    <w:rsid w:val="001A73EA"/>
    <w:rsid w:val="001B1F63"/>
    <w:rsid w:val="001B1FF5"/>
    <w:rsid w:val="001B3104"/>
    <w:rsid w:val="001B3FAE"/>
    <w:rsid w:val="001B43BE"/>
    <w:rsid w:val="001B572E"/>
    <w:rsid w:val="001B5EDF"/>
    <w:rsid w:val="001B741B"/>
    <w:rsid w:val="001B7948"/>
    <w:rsid w:val="001B7BED"/>
    <w:rsid w:val="001B7E05"/>
    <w:rsid w:val="001C086B"/>
    <w:rsid w:val="001C0A86"/>
    <w:rsid w:val="001C0EC9"/>
    <w:rsid w:val="001C1493"/>
    <w:rsid w:val="001C2C10"/>
    <w:rsid w:val="001C38F8"/>
    <w:rsid w:val="001C4EAC"/>
    <w:rsid w:val="001D0DE4"/>
    <w:rsid w:val="001D101B"/>
    <w:rsid w:val="001D138C"/>
    <w:rsid w:val="001D384D"/>
    <w:rsid w:val="001D3BCF"/>
    <w:rsid w:val="001D4743"/>
    <w:rsid w:val="001D51B0"/>
    <w:rsid w:val="001D5A2D"/>
    <w:rsid w:val="001D610E"/>
    <w:rsid w:val="001D6AAF"/>
    <w:rsid w:val="001D7E12"/>
    <w:rsid w:val="001E01A4"/>
    <w:rsid w:val="001E1462"/>
    <w:rsid w:val="001E298F"/>
    <w:rsid w:val="001E31E7"/>
    <w:rsid w:val="001E3BB5"/>
    <w:rsid w:val="001E48FC"/>
    <w:rsid w:val="001E5614"/>
    <w:rsid w:val="001E5B5C"/>
    <w:rsid w:val="001E74E9"/>
    <w:rsid w:val="001F0EA1"/>
    <w:rsid w:val="001F18D5"/>
    <w:rsid w:val="001F2BB5"/>
    <w:rsid w:val="001F388F"/>
    <w:rsid w:val="001F3AB8"/>
    <w:rsid w:val="001F6F88"/>
    <w:rsid w:val="00200CED"/>
    <w:rsid w:val="00200DD1"/>
    <w:rsid w:val="00200E88"/>
    <w:rsid w:val="00204DB6"/>
    <w:rsid w:val="0020657F"/>
    <w:rsid w:val="00212821"/>
    <w:rsid w:val="00217D81"/>
    <w:rsid w:val="00220C99"/>
    <w:rsid w:val="00221AFD"/>
    <w:rsid w:val="002232C0"/>
    <w:rsid w:val="00223950"/>
    <w:rsid w:val="002239D2"/>
    <w:rsid w:val="00224636"/>
    <w:rsid w:val="00224C70"/>
    <w:rsid w:val="0022539D"/>
    <w:rsid w:val="00225836"/>
    <w:rsid w:val="00225CAE"/>
    <w:rsid w:val="00226889"/>
    <w:rsid w:val="002273CC"/>
    <w:rsid w:val="00230F76"/>
    <w:rsid w:val="00233846"/>
    <w:rsid w:val="002404F7"/>
    <w:rsid w:val="00240B8A"/>
    <w:rsid w:val="00242276"/>
    <w:rsid w:val="00244ED8"/>
    <w:rsid w:val="00245448"/>
    <w:rsid w:val="0024653F"/>
    <w:rsid w:val="002506FB"/>
    <w:rsid w:val="00251084"/>
    <w:rsid w:val="002515BC"/>
    <w:rsid w:val="002522FE"/>
    <w:rsid w:val="00252D8D"/>
    <w:rsid w:val="0025465A"/>
    <w:rsid w:val="002567EE"/>
    <w:rsid w:val="00256A3E"/>
    <w:rsid w:val="00260767"/>
    <w:rsid w:val="002616C5"/>
    <w:rsid w:val="0026204E"/>
    <w:rsid w:val="002627AA"/>
    <w:rsid w:val="0026377E"/>
    <w:rsid w:val="00265A98"/>
    <w:rsid w:val="00266311"/>
    <w:rsid w:val="00267888"/>
    <w:rsid w:val="0027286B"/>
    <w:rsid w:val="002818C1"/>
    <w:rsid w:val="00282B7C"/>
    <w:rsid w:val="002833B1"/>
    <w:rsid w:val="002842A9"/>
    <w:rsid w:val="00285106"/>
    <w:rsid w:val="00285CB6"/>
    <w:rsid w:val="002860F0"/>
    <w:rsid w:val="00290BD5"/>
    <w:rsid w:val="00290E32"/>
    <w:rsid w:val="00291C3B"/>
    <w:rsid w:val="00291F3B"/>
    <w:rsid w:val="00292CF4"/>
    <w:rsid w:val="002971FF"/>
    <w:rsid w:val="00297F8B"/>
    <w:rsid w:val="002A0470"/>
    <w:rsid w:val="002A077B"/>
    <w:rsid w:val="002A2E8D"/>
    <w:rsid w:val="002A31C0"/>
    <w:rsid w:val="002A5ECD"/>
    <w:rsid w:val="002A70A8"/>
    <w:rsid w:val="002A73B0"/>
    <w:rsid w:val="002A7992"/>
    <w:rsid w:val="002B22E1"/>
    <w:rsid w:val="002B3429"/>
    <w:rsid w:val="002B4602"/>
    <w:rsid w:val="002B6B24"/>
    <w:rsid w:val="002C0EB7"/>
    <w:rsid w:val="002C202A"/>
    <w:rsid w:val="002C3100"/>
    <w:rsid w:val="002C551A"/>
    <w:rsid w:val="002C581E"/>
    <w:rsid w:val="002C5E82"/>
    <w:rsid w:val="002D0445"/>
    <w:rsid w:val="002D165B"/>
    <w:rsid w:val="002D1C25"/>
    <w:rsid w:val="002D21B7"/>
    <w:rsid w:val="002D331D"/>
    <w:rsid w:val="002D37B6"/>
    <w:rsid w:val="002D641C"/>
    <w:rsid w:val="002E182F"/>
    <w:rsid w:val="002E394D"/>
    <w:rsid w:val="002E3D90"/>
    <w:rsid w:val="002E4045"/>
    <w:rsid w:val="002E4318"/>
    <w:rsid w:val="002F20F7"/>
    <w:rsid w:val="002F213C"/>
    <w:rsid w:val="002F283C"/>
    <w:rsid w:val="002F3DB9"/>
    <w:rsid w:val="002F459A"/>
    <w:rsid w:val="002F4E85"/>
    <w:rsid w:val="002F53D0"/>
    <w:rsid w:val="002F58AE"/>
    <w:rsid w:val="00300633"/>
    <w:rsid w:val="0030262D"/>
    <w:rsid w:val="00302D5C"/>
    <w:rsid w:val="00305514"/>
    <w:rsid w:val="00307810"/>
    <w:rsid w:val="00310546"/>
    <w:rsid w:val="00311B9B"/>
    <w:rsid w:val="0031348A"/>
    <w:rsid w:val="0031390F"/>
    <w:rsid w:val="00313D1A"/>
    <w:rsid w:val="00317F1B"/>
    <w:rsid w:val="003237C5"/>
    <w:rsid w:val="00325B03"/>
    <w:rsid w:val="0032663D"/>
    <w:rsid w:val="00327A4E"/>
    <w:rsid w:val="00327AD2"/>
    <w:rsid w:val="00331B8A"/>
    <w:rsid w:val="00332D81"/>
    <w:rsid w:val="00333BF4"/>
    <w:rsid w:val="00334CFA"/>
    <w:rsid w:val="00334EFE"/>
    <w:rsid w:val="0033635A"/>
    <w:rsid w:val="00336691"/>
    <w:rsid w:val="00336AA5"/>
    <w:rsid w:val="00343862"/>
    <w:rsid w:val="00344A89"/>
    <w:rsid w:val="00345F37"/>
    <w:rsid w:val="00346385"/>
    <w:rsid w:val="00347250"/>
    <w:rsid w:val="00352F1C"/>
    <w:rsid w:val="003551D7"/>
    <w:rsid w:val="0035533B"/>
    <w:rsid w:val="00355786"/>
    <w:rsid w:val="003563C0"/>
    <w:rsid w:val="00357263"/>
    <w:rsid w:val="00360C87"/>
    <w:rsid w:val="0036327B"/>
    <w:rsid w:val="0036327D"/>
    <w:rsid w:val="00363919"/>
    <w:rsid w:val="00364A91"/>
    <w:rsid w:val="00371CD8"/>
    <w:rsid w:val="00372AD0"/>
    <w:rsid w:val="00372FE3"/>
    <w:rsid w:val="00375942"/>
    <w:rsid w:val="00376ECA"/>
    <w:rsid w:val="00377A48"/>
    <w:rsid w:val="003804E4"/>
    <w:rsid w:val="00380581"/>
    <w:rsid w:val="00380FA8"/>
    <w:rsid w:val="00381C37"/>
    <w:rsid w:val="0038208E"/>
    <w:rsid w:val="0038216F"/>
    <w:rsid w:val="00382788"/>
    <w:rsid w:val="00384EAF"/>
    <w:rsid w:val="00386911"/>
    <w:rsid w:val="00386DA0"/>
    <w:rsid w:val="003873B4"/>
    <w:rsid w:val="00387742"/>
    <w:rsid w:val="00390DD3"/>
    <w:rsid w:val="00391699"/>
    <w:rsid w:val="00391A04"/>
    <w:rsid w:val="00392603"/>
    <w:rsid w:val="00392652"/>
    <w:rsid w:val="00392F47"/>
    <w:rsid w:val="00393775"/>
    <w:rsid w:val="00393870"/>
    <w:rsid w:val="00393E7F"/>
    <w:rsid w:val="00394958"/>
    <w:rsid w:val="00397651"/>
    <w:rsid w:val="003A0E46"/>
    <w:rsid w:val="003A2947"/>
    <w:rsid w:val="003A313A"/>
    <w:rsid w:val="003A3693"/>
    <w:rsid w:val="003A43B9"/>
    <w:rsid w:val="003A43EA"/>
    <w:rsid w:val="003A7BAE"/>
    <w:rsid w:val="003B0F34"/>
    <w:rsid w:val="003B0F89"/>
    <w:rsid w:val="003B1934"/>
    <w:rsid w:val="003B211D"/>
    <w:rsid w:val="003B3C2C"/>
    <w:rsid w:val="003B57CF"/>
    <w:rsid w:val="003B58A3"/>
    <w:rsid w:val="003B591A"/>
    <w:rsid w:val="003B5AD7"/>
    <w:rsid w:val="003B750C"/>
    <w:rsid w:val="003C21F6"/>
    <w:rsid w:val="003D0F5B"/>
    <w:rsid w:val="003D11C7"/>
    <w:rsid w:val="003D1302"/>
    <w:rsid w:val="003D1707"/>
    <w:rsid w:val="003D5EA2"/>
    <w:rsid w:val="003D6605"/>
    <w:rsid w:val="003D6DED"/>
    <w:rsid w:val="003E0E2E"/>
    <w:rsid w:val="003E39AF"/>
    <w:rsid w:val="003E5D16"/>
    <w:rsid w:val="003E6AC9"/>
    <w:rsid w:val="003E7376"/>
    <w:rsid w:val="003F4268"/>
    <w:rsid w:val="003F5D38"/>
    <w:rsid w:val="003F6AB7"/>
    <w:rsid w:val="003F737D"/>
    <w:rsid w:val="003F7863"/>
    <w:rsid w:val="004021AA"/>
    <w:rsid w:val="00402FE9"/>
    <w:rsid w:val="004038E1"/>
    <w:rsid w:val="0040431E"/>
    <w:rsid w:val="00404322"/>
    <w:rsid w:val="0040456E"/>
    <w:rsid w:val="00404604"/>
    <w:rsid w:val="0040483F"/>
    <w:rsid w:val="00404F43"/>
    <w:rsid w:val="0040554D"/>
    <w:rsid w:val="004101F9"/>
    <w:rsid w:val="0041067D"/>
    <w:rsid w:val="0041211E"/>
    <w:rsid w:val="004139DE"/>
    <w:rsid w:val="00413DED"/>
    <w:rsid w:val="0041422C"/>
    <w:rsid w:val="00414973"/>
    <w:rsid w:val="00415761"/>
    <w:rsid w:val="00415882"/>
    <w:rsid w:val="00415E07"/>
    <w:rsid w:val="00416F9D"/>
    <w:rsid w:val="00417BD0"/>
    <w:rsid w:val="00417F42"/>
    <w:rsid w:val="00420009"/>
    <w:rsid w:val="00423D31"/>
    <w:rsid w:val="0042469E"/>
    <w:rsid w:val="00425DC5"/>
    <w:rsid w:val="00426E99"/>
    <w:rsid w:val="00430318"/>
    <w:rsid w:val="004304DB"/>
    <w:rsid w:val="0043306A"/>
    <w:rsid w:val="0043546E"/>
    <w:rsid w:val="00440D7A"/>
    <w:rsid w:val="00441743"/>
    <w:rsid w:val="00443453"/>
    <w:rsid w:val="004435F3"/>
    <w:rsid w:val="00443DDE"/>
    <w:rsid w:val="00445218"/>
    <w:rsid w:val="00445977"/>
    <w:rsid w:val="00446480"/>
    <w:rsid w:val="00451D9F"/>
    <w:rsid w:val="00451EC6"/>
    <w:rsid w:val="00453BB6"/>
    <w:rsid w:val="00453CEE"/>
    <w:rsid w:val="00455FF4"/>
    <w:rsid w:val="004606F0"/>
    <w:rsid w:val="00461587"/>
    <w:rsid w:val="004619CC"/>
    <w:rsid w:val="00461B9B"/>
    <w:rsid w:val="004632C0"/>
    <w:rsid w:val="00463FDE"/>
    <w:rsid w:val="004642C4"/>
    <w:rsid w:val="0046462B"/>
    <w:rsid w:val="00464741"/>
    <w:rsid w:val="00465C6B"/>
    <w:rsid w:val="00471069"/>
    <w:rsid w:val="0047136A"/>
    <w:rsid w:val="00471A11"/>
    <w:rsid w:val="00472056"/>
    <w:rsid w:val="00472D18"/>
    <w:rsid w:val="00472DAC"/>
    <w:rsid w:val="00473B4B"/>
    <w:rsid w:val="00473D28"/>
    <w:rsid w:val="00473E9D"/>
    <w:rsid w:val="00474AED"/>
    <w:rsid w:val="00474E57"/>
    <w:rsid w:val="004761AE"/>
    <w:rsid w:val="00477B07"/>
    <w:rsid w:val="00477E08"/>
    <w:rsid w:val="00482273"/>
    <w:rsid w:val="00483CFF"/>
    <w:rsid w:val="004845E5"/>
    <w:rsid w:val="00484CD2"/>
    <w:rsid w:val="00485B27"/>
    <w:rsid w:val="0048654C"/>
    <w:rsid w:val="00486593"/>
    <w:rsid w:val="004866A7"/>
    <w:rsid w:val="00492F1B"/>
    <w:rsid w:val="004961BB"/>
    <w:rsid w:val="004A0F89"/>
    <w:rsid w:val="004A15DD"/>
    <w:rsid w:val="004A2771"/>
    <w:rsid w:val="004A2F5B"/>
    <w:rsid w:val="004A373F"/>
    <w:rsid w:val="004A47AA"/>
    <w:rsid w:val="004A5A8B"/>
    <w:rsid w:val="004A614B"/>
    <w:rsid w:val="004A7469"/>
    <w:rsid w:val="004A7FDE"/>
    <w:rsid w:val="004B0990"/>
    <w:rsid w:val="004B0A8F"/>
    <w:rsid w:val="004B1388"/>
    <w:rsid w:val="004B371B"/>
    <w:rsid w:val="004B499D"/>
    <w:rsid w:val="004B79AA"/>
    <w:rsid w:val="004C03AD"/>
    <w:rsid w:val="004C0CB1"/>
    <w:rsid w:val="004C2AE3"/>
    <w:rsid w:val="004C531B"/>
    <w:rsid w:val="004C58E9"/>
    <w:rsid w:val="004C726A"/>
    <w:rsid w:val="004D0B70"/>
    <w:rsid w:val="004D382E"/>
    <w:rsid w:val="004D51A8"/>
    <w:rsid w:val="004D6AF6"/>
    <w:rsid w:val="004D7382"/>
    <w:rsid w:val="004E03E5"/>
    <w:rsid w:val="004E1192"/>
    <w:rsid w:val="004E1F70"/>
    <w:rsid w:val="004E20D8"/>
    <w:rsid w:val="004E29DA"/>
    <w:rsid w:val="004E2C0E"/>
    <w:rsid w:val="004E3959"/>
    <w:rsid w:val="004E43AE"/>
    <w:rsid w:val="004E6A56"/>
    <w:rsid w:val="004E71B5"/>
    <w:rsid w:val="004F1B08"/>
    <w:rsid w:val="004F2687"/>
    <w:rsid w:val="004F37BC"/>
    <w:rsid w:val="004F4FD0"/>
    <w:rsid w:val="004F50ED"/>
    <w:rsid w:val="004F5E9E"/>
    <w:rsid w:val="004F68F3"/>
    <w:rsid w:val="004F7B55"/>
    <w:rsid w:val="004F7E1F"/>
    <w:rsid w:val="004F7F74"/>
    <w:rsid w:val="0050177B"/>
    <w:rsid w:val="005039B2"/>
    <w:rsid w:val="005059BB"/>
    <w:rsid w:val="00506DCA"/>
    <w:rsid w:val="00507A75"/>
    <w:rsid w:val="0051066E"/>
    <w:rsid w:val="005107D3"/>
    <w:rsid w:val="00510853"/>
    <w:rsid w:val="0051141A"/>
    <w:rsid w:val="0051410E"/>
    <w:rsid w:val="005141A6"/>
    <w:rsid w:val="00515BB7"/>
    <w:rsid w:val="00516CCB"/>
    <w:rsid w:val="00516DFF"/>
    <w:rsid w:val="00520A86"/>
    <w:rsid w:val="00521ADD"/>
    <w:rsid w:val="00522C97"/>
    <w:rsid w:val="00525211"/>
    <w:rsid w:val="0052760B"/>
    <w:rsid w:val="00530C01"/>
    <w:rsid w:val="00530C83"/>
    <w:rsid w:val="005319AF"/>
    <w:rsid w:val="005322D4"/>
    <w:rsid w:val="005350AF"/>
    <w:rsid w:val="005362E5"/>
    <w:rsid w:val="00536808"/>
    <w:rsid w:val="00536969"/>
    <w:rsid w:val="00537CF0"/>
    <w:rsid w:val="005404B5"/>
    <w:rsid w:val="0054179B"/>
    <w:rsid w:val="00541E8F"/>
    <w:rsid w:val="00542911"/>
    <w:rsid w:val="00542D15"/>
    <w:rsid w:val="00544964"/>
    <w:rsid w:val="00547676"/>
    <w:rsid w:val="00547E63"/>
    <w:rsid w:val="00552498"/>
    <w:rsid w:val="00553B7C"/>
    <w:rsid w:val="00554EB6"/>
    <w:rsid w:val="00555A59"/>
    <w:rsid w:val="005561AA"/>
    <w:rsid w:val="005616E7"/>
    <w:rsid w:val="00562592"/>
    <w:rsid w:val="00563E55"/>
    <w:rsid w:val="00564FE6"/>
    <w:rsid w:val="0056500E"/>
    <w:rsid w:val="00565052"/>
    <w:rsid w:val="00565214"/>
    <w:rsid w:val="00566564"/>
    <w:rsid w:val="0056656D"/>
    <w:rsid w:val="00566E0D"/>
    <w:rsid w:val="00566EF2"/>
    <w:rsid w:val="00566FED"/>
    <w:rsid w:val="0056758A"/>
    <w:rsid w:val="005677E0"/>
    <w:rsid w:val="00567CDD"/>
    <w:rsid w:val="00567DB3"/>
    <w:rsid w:val="005718B2"/>
    <w:rsid w:val="00572880"/>
    <w:rsid w:val="005740C0"/>
    <w:rsid w:val="00575EA8"/>
    <w:rsid w:val="00576E47"/>
    <w:rsid w:val="00580C8C"/>
    <w:rsid w:val="00581F8A"/>
    <w:rsid w:val="00582A14"/>
    <w:rsid w:val="0058319E"/>
    <w:rsid w:val="005833C6"/>
    <w:rsid w:val="0058669A"/>
    <w:rsid w:val="00586C0B"/>
    <w:rsid w:val="00586C31"/>
    <w:rsid w:val="00587CA0"/>
    <w:rsid w:val="00587E64"/>
    <w:rsid w:val="0059196B"/>
    <w:rsid w:val="0059232E"/>
    <w:rsid w:val="00593C27"/>
    <w:rsid w:val="00595C96"/>
    <w:rsid w:val="00596E0C"/>
    <w:rsid w:val="005A0006"/>
    <w:rsid w:val="005A1B61"/>
    <w:rsid w:val="005A2A41"/>
    <w:rsid w:val="005A5C61"/>
    <w:rsid w:val="005A5F5E"/>
    <w:rsid w:val="005A63C4"/>
    <w:rsid w:val="005B1339"/>
    <w:rsid w:val="005B1448"/>
    <w:rsid w:val="005B14E1"/>
    <w:rsid w:val="005B208F"/>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1084"/>
    <w:rsid w:val="005D14AA"/>
    <w:rsid w:val="005D33AB"/>
    <w:rsid w:val="005D377E"/>
    <w:rsid w:val="005D3DF0"/>
    <w:rsid w:val="005D4035"/>
    <w:rsid w:val="005D5193"/>
    <w:rsid w:val="005D6058"/>
    <w:rsid w:val="005E1B5F"/>
    <w:rsid w:val="005E27D0"/>
    <w:rsid w:val="005E2C76"/>
    <w:rsid w:val="005E446A"/>
    <w:rsid w:val="005E47DE"/>
    <w:rsid w:val="005E4BE1"/>
    <w:rsid w:val="005E53E9"/>
    <w:rsid w:val="005E54D5"/>
    <w:rsid w:val="005E7B80"/>
    <w:rsid w:val="005F0A3E"/>
    <w:rsid w:val="005F2C97"/>
    <w:rsid w:val="005F3C31"/>
    <w:rsid w:val="005F3C9B"/>
    <w:rsid w:val="005F420B"/>
    <w:rsid w:val="005F5956"/>
    <w:rsid w:val="005F5F55"/>
    <w:rsid w:val="005F746A"/>
    <w:rsid w:val="005F7E75"/>
    <w:rsid w:val="00600D58"/>
    <w:rsid w:val="006010C7"/>
    <w:rsid w:val="006017E0"/>
    <w:rsid w:val="006021D7"/>
    <w:rsid w:val="00602F87"/>
    <w:rsid w:val="00603698"/>
    <w:rsid w:val="006042C2"/>
    <w:rsid w:val="006042D2"/>
    <w:rsid w:val="0060431F"/>
    <w:rsid w:val="0060505A"/>
    <w:rsid w:val="00605E9E"/>
    <w:rsid w:val="00606F77"/>
    <w:rsid w:val="00610E79"/>
    <w:rsid w:val="0061333C"/>
    <w:rsid w:val="00614BB6"/>
    <w:rsid w:val="00614E74"/>
    <w:rsid w:val="006170F9"/>
    <w:rsid w:val="00617829"/>
    <w:rsid w:val="00622339"/>
    <w:rsid w:val="00623960"/>
    <w:rsid w:val="00623C8F"/>
    <w:rsid w:val="00623DB9"/>
    <w:rsid w:val="00624669"/>
    <w:rsid w:val="0062602A"/>
    <w:rsid w:val="00630BD3"/>
    <w:rsid w:val="00631793"/>
    <w:rsid w:val="00632475"/>
    <w:rsid w:val="006337F0"/>
    <w:rsid w:val="00633905"/>
    <w:rsid w:val="00633B04"/>
    <w:rsid w:val="00635957"/>
    <w:rsid w:val="00640F90"/>
    <w:rsid w:val="0064110A"/>
    <w:rsid w:val="006419DD"/>
    <w:rsid w:val="006438A2"/>
    <w:rsid w:val="0064417F"/>
    <w:rsid w:val="00644395"/>
    <w:rsid w:val="00644E89"/>
    <w:rsid w:val="00644E8C"/>
    <w:rsid w:val="0064553D"/>
    <w:rsid w:val="00645F58"/>
    <w:rsid w:val="00647BCF"/>
    <w:rsid w:val="00650F0C"/>
    <w:rsid w:val="00660162"/>
    <w:rsid w:val="00660D5F"/>
    <w:rsid w:val="00662D9F"/>
    <w:rsid w:val="006643BF"/>
    <w:rsid w:val="00664961"/>
    <w:rsid w:val="00665325"/>
    <w:rsid w:val="00666629"/>
    <w:rsid w:val="00666659"/>
    <w:rsid w:val="006668FB"/>
    <w:rsid w:val="006676EB"/>
    <w:rsid w:val="0066795B"/>
    <w:rsid w:val="00671C15"/>
    <w:rsid w:val="0067348B"/>
    <w:rsid w:val="006742B8"/>
    <w:rsid w:val="00674527"/>
    <w:rsid w:val="00674F05"/>
    <w:rsid w:val="00675678"/>
    <w:rsid w:val="00675726"/>
    <w:rsid w:val="0067722E"/>
    <w:rsid w:val="00677768"/>
    <w:rsid w:val="00680BB0"/>
    <w:rsid w:val="0068161A"/>
    <w:rsid w:val="00681B08"/>
    <w:rsid w:val="00682210"/>
    <w:rsid w:val="0068468E"/>
    <w:rsid w:val="0068493A"/>
    <w:rsid w:val="00686F21"/>
    <w:rsid w:val="006875C2"/>
    <w:rsid w:val="00690E2E"/>
    <w:rsid w:val="006913E5"/>
    <w:rsid w:val="00692614"/>
    <w:rsid w:val="00692695"/>
    <w:rsid w:val="006935DD"/>
    <w:rsid w:val="00693B1C"/>
    <w:rsid w:val="00694D51"/>
    <w:rsid w:val="0069587F"/>
    <w:rsid w:val="0069704D"/>
    <w:rsid w:val="006A1E1E"/>
    <w:rsid w:val="006A3EEB"/>
    <w:rsid w:val="006A46FC"/>
    <w:rsid w:val="006A6A67"/>
    <w:rsid w:val="006A7B6D"/>
    <w:rsid w:val="006A7CF6"/>
    <w:rsid w:val="006B17C4"/>
    <w:rsid w:val="006B2CE7"/>
    <w:rsid w:val="006B6172"/>
    <w:rsid w:val="006B76DD"/>
    <w:rsid w:val="006B7C5A"/>
    <w:rsid w:val="006C0A88"/>
    <w:rsid w:val="006C1983"/>
    <w:rsid w:val="006C36A3"/>
    <w:rsid w:val="006C4789"/>
    <w:rsid w:val="006C5B05"/>
    <w:rsid w:val="006C5D20"/>
    <w:rsid w:val="006C6108"/>
    <w:rsid w:val="006C662A"/>
    <w:rsid w:val="006C7FE1"/>
    <w:rsid w:val="006C7FE7"/>
    <w:rsid w:val="006D0478"/>
    <w:rsid w:val="006D0CC3"/>
    <w:rsid w:val="006D1F69"/>
    <w:rsid w:val="006D5449"/>
    <w:rsid w:val="006D6214"/>
    <w:rsid w:val="006D6908"/>
    <w:rsid w:val="006D6F92"/>
    <w:rsid w:val="006E0CE9"/>
    <w:rsid w:val="006E1496"/>
    <w:rsid w:val="006E466E"/>
    <w:rsid w:val="006E4B78"/>
    <w:rsid w:val="006E4EFA"/>
    <w:rsid w:val="006E6279"/>
    <w:rsid w:val="006E6C2C"/>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11B8"/>
    <w:rsid w:val="00711553"/>
    <w:rsid w:val="007118BF"/>
    <w:rsid w:val="007131E9"/>
    <w:rsid w:val="00713465"/>
    <w:rsid w:val="0071462D"/>
    <w:rsid w:val="007172D5"/>
    <w:rsid w:val="0072558C"/>
    <w:rsid w:val="007274EF"/>
    <w:rsid w:val="00727656"/>
    <w:rsid w:val="00727970"/>
    <w:rsid w:val="00727FE4"/>
    <w:rsid w:val="00732A49"/>
    <w:rsid w:val="007330F7"/>
    <w:rsid w:val="00734C6F"/>
    <w:rsid w:val="00735A59"/>
    <w:rsid w:val="0073653B"/>
    <w:rsid w:val="007403B5"/>
    <w:rsid w:val="00740A0B"/>
    <w:rsid w:val="00741241"/>
    <w:rsid w:val="007413A1"/>
    <w:rsid w:val="00742F4A"/>
    <w:rsid w:val="00742FA9"/>
    <w:rsid w:val="00743B29"/>
    <w:rsid w:val="00746253"/>
    <w:rsid w:val="00747DA2"/>
    <w:rsid w:val="00750C38"/>
    <w:rsid w:val="00751EB4"/>
    <w:rsid w:val="00752840"/>
    <w:rsid w:val="00753C1D"/>
    <w:rsid w:val="0075497E"/>
    <w:rsid w:val="00755884"/>
    <w:rsid w:val="0075663B"/>
    <w:rsid w:val="00760A07"/>
    <w:rsid w:val="00762A89"/>
    <w:rsid w:val="00762E18"/>
    <w:rsid w:val="00762F60"/>
    <w:rsid w:val="0076354A"/>
    <w:rsid w:val="007664C9"/>
    <w:rsid w:val="00766660"/>
    <w:rsid w:val="00770C09"/>
    <w:rsid w:val="00770C2E"/>
    <w:rsid w:val="007714DC"/>
    <w:rsid w:val="00771E46"/>
    <w:rsid w:val="00772CC4"/>
    <w:rsid w:val="0077456F"/>
    <w:rsid w:val="007756FE"/>
    <w:rsid w:val="007773AD"/>
    <w:rsid w:val="00780066"/>
    <w:rsid w:val="00780BBE"/>
    <w:rsid w:val="00781195"/>
    <w:rsid w:val="00782185"/>
    <w:rsid w:val="0078278F"/>
    <w:rsid w:val="007832CB"/>
    <w:rsid w:val="007834FF"/>
    <w:rsid w:val="007835D7"/>
    <w:rsid w:val="00786826"/>
    <w:rsid w:val="007877BA"/>
    <w:rsid w:val="00787DF2"/>
    <w:rsid w:val="00790FE3"/>
    <w:rsid w:val="007914A4"/>
    <w:rsid w:val="00791A45"/>
    <w:rsid w:val="00791B1D"/>
    <w:rsid w:val="0079207F"/>
    <w:rsid w:val="00793534"/>
    <w:rsid w:val="00794D6D"/>
    <w:rsid w:val="007952AA"/>
    <w:rsid w:val="0079585D"/>
    <w:rsid w:val="007A16BA"/>
    <w:rsid w:val="007A1B5C"/>
    <w:rsid w:val="007A2299"/>
    <w:rsid w:val="007A275A"/>
    <w:rsid w:val="007A297F"/>
    <w:rsid w:val="007A3F95"/>
    <w:rsid w:val="007A5A43"/>
    <w:rsid w:val="007A5C63"/>
    <w:rsid w:val="007A657A"/>
    <w:rsid w:val="007A658E"/>
    <w:rsid w:val="007A6B65"/>
    <w:rsid w:val="007A76CC"/>
    <w:rsid w:val="007B04EB"/>
    <w:rsid w:val="007B20BB"/>
    <w:rsid w:val="007B2B4C"/>
    <w:rsid w:val="007B2D35"/>
    <w:rsid w:val="007B44EB"/>
    <w:rsid w:val="007B4502"/>
    <w:rsid w:val="007B5E1B"/>
    <w:rsid w:val="007B6EC3"/>
    <w:rsid w:val="007C01AA"/>
    <w:rsid w:val="007C06BC"/>
    <w:rsid w:val="007C06EC"/>
    <w:rsid w:val="007C0F05"/>
    <w:rsid w:val="007C16D2"/>
    <w:rsid w:val="007C1F97"/>
    <w:rsid w:val="007C2FF5"/>
    <w:rsid w:val="007C3A70"/>
    <w:rsid w:val="007C614B"/>
    <w:rsid w:val="007D0198"/>
    <w:rsid w:val="007D059E"/>
    <w:rsid w:val="007D0BD6"/>
    <w:rsid w:val="007D5750"/>
    <w:rsid w:val="007D6ADF"/>
    <w:rsid w:val="007D716D"/>
    <w:rsid w:val="007D7A3B"/>
    <w:rsid w:val="007E0083"/>
    <w:rsid w:val="007E0C81"/>
    <w:rsid w:val="007E25C3"/>
    <w:rsid w:val="007E2ADB"/>
    <w:rsid w:val="007E2C6C"/>
    <w:rsid w:val="007E4939"/>
    <w:rsid w:val="007E4C7F"/>
    <w:rsid w:val="007E5631"/>
    <w:rsid w:val="007E614B"/>
    <w:rsid w:val="007F047B"/>
    <w:rsid w:val="007F07AC"/>
    <w:rsid w:val="007F094C"/>
    <w:rsid w:val="007F1930"/>
    <w:rsid w:val="007F1C84"/>
    <w:rsid w:val="007F3D65"/>
    <w:rsid w:val="007F458D"/>
    <w:rsid w:val="007F5057"/>
    <w:rsid w:val="007F5DF3"/>
    <w:rsid w:val="007F63DD"/>
    <w:rsid w:val="00800356"/>
    <w:rsid w:val="00802B78"/>
    <w:rsid w:val="00802F0F"/>
    <w:rsid w:val="00803B8F"/>
    <w:rsid w:val="00803ED8"/>
    <w:rsid w:val="00803FEE"/>
    <w:rsid w:val="008052A3"/>
    <w:rsid w:val="00806452"/>
    <w:rsid w:val="00810631"/>
    <w:rsid w:val="008108A2"/>
    <w:rsid w:val="00810C39"/>
    <w:rsid w:val="00810D60"/>
    <w:rsid w:val="008115C5"/>
    <w:rsid w:val="0081364C"/>
    <w:rsid w:val="0081386D"/>
    <w:rsid w:val="008146CD"/>
    <w:rsid w:val="00814B1C"/>
    <w:rsid w:val="008179CE"/>
    <w:rsid w:val="00820533"/>
    <w:rsid w:val="00820A60"/>
    <w:rsid w:val="00822588"/>
    <w:rsid w:val="00822FCA"/>
    <w:rsid w:val="00823B0F"/>
    <w:rsid w:val="00824191"/>
    <w:rsid w:val="00824A1C"/>
    <w:rsid w:val="00824AC8"/>
    <w:rsid w:val="00826274"/>
    <w:rsid w:val="00826E56"/>
    <w:rsid w:val="0082756A"/>
    <w:rsid w:val="0083010F"/>
    <w:rsid w:val="00833DBE"/>
    <w:rsid w:val="00835A49"/>
    <w:rsid w:val="00836309"/>
    <w:rsid w:val="00836925"/>
    <w:rsid w:val="00840BC5"/>
    <w:rsid w:val="00841C86"/>
    <w:rsid w:val="00841F35"/>
    <w:rsid w:val="00842161"/>
    <w:rsid w:val="00847C4D"/>
    <w:rsid w:val="00851720"/>
    <w:rsid w:val="00853187"/>
    <w:rsid w:val="00853494"/>
    <w:rsid w:val="00853DEB"/>
    <w:rsid w:val="00853FF3"/>
    <w:rsid w:val="008575E8"/>
    <w:rsid w:val="0086024C"/>
    <w:rsid w:val="0086136D"/>
    <w:rsid w:val="008613D8"/>
    <w:rsid w:val="008615ED"/>
    <w:rsid w:val="0086179F"/>
    <w:rsid w:val="008622C4"/>
    <w:rsid w:val="00865043"/>
    <w:rsid w:val="00866ABD"/>
    <w:rsid w:val="00867B58"/>
    <w:rsid w:val="00870630"/>
    <w:rsid w:val="00870F55"/>
    <w:rsid w:val="00871098"/>
    <w:rsid w:val="00872840"/>
    <w:rsid w:val="00874E0F"/>
    <w:rsid w:val="00874F74"/>
    <w:rsid w:val="0087561B"/>
    <w:rsid w:val="008777C5"/>
    <w:rsid w:val="00880A9D"/>
    <w:rsid w:val="0088151D"/>
    <w:rsid w:val="00881E35"/>
    <w:rsid w:val="00882B53"/>
    <w:rsid w:val="008873A6"/>
    <w:rsid w:val="00887694"/>
    <w:rsid w:val="0089008D"/>
    <w:rsid w:val="008974E4"/>
    <w:rsid w:val="008A10D6"/>
    <w:rsid w:val="008A2209"/>
    <w:rsid w:val="008A2D72"/>
    <w:rsid w:val="008A370F"/>
    <w:rsid w:val="008A578E"/>
    <w:rsid w:val="008A7D3D"/>
    <w:rsid w:val="008B0E89"/>
    <w:rsid w:val="008B1781"/>
    <w:rsid w:val="008B1D8B"/>
    <w:rsid w:val="008B23CB"/>
    <w:rsid w:val="008B4468"/>
    <w:rsid w:val="008B4875"/>
    <w:rsid w:val="008B5DAC"/>
    <w:rsid w:val="008B63D6"/>
    <w:rsid w:val="008B798C"/>
    <w:rsid w:val="008C14FC"/>
    <w:rsid w:val="008C28CE"/>
    <w:rsid w:val="008C2955"/>
    <w:rsid w:val="008C498F"/>
    <w:rsid w:val="008C5E6B"/>
    <w:rsid w:val="008D183D"/>
    <w:rsid w:val="008D282B"/>
    <w:rsid w:val="008D49C5"/>
    <w:rsid w:val="008D576F"/>
    <w:rsid w:val="008D5F6B"/>
    <w:rsid w:val="008D66CF"/>
    <w:rsid w:val="008D79E1"/>
    <w:rsid w:val="008E2B0B"/>
    <w:rsid w:val="008E2C96"/>
    <w:rsid w:val="008E2F47"/>
    <w:rsid w:val="008E68B6"/>
    <w:rsid w:val="008E70C3"/>
    <w:rsid w:val="008E70F6"/>
    <w:rsid w:val="008F104A"/>
    <w:rsid w:val="008F1CAD"/>
    <w:rsid w:val="008F451F"/>
    <w:rsid w:val="008F77F5"/>
    <w:rsid w:val="00901D4E"/>
    <w:rsid w:val="009030E4"/>
    <w:rsid w:val="00903189"/>
    <w:rsid w:val="009037A0"/>
    <w:rsid w:val="00903977"/>
    <w:rsid w:val="009042BE"/>
    <w:rsid w:val="009059A8"/>
    <w:rsid w:val="0090617F"/>
    <w:rsid w:val="009109F8"/>
    <w:rsid w:val="00913853"/>
    <w:rsid w:val="009148C4"/>
    <w:rsid w:val="00915B26"/>
    <w:rsid w:val="009179DD"/>
    <w:rsid w:val="00921FBA"/>
    <w:rsid w:val="00923368"/>
    <w:rsid w:val="009236DB"/>
    <w:rsid w:val="00923BD9"/>
    <w:rsid w:val="009241E7"/>
    <w:rsid w:val="00925425"/>
    <w:rsid w:val="009270D5"/>
    <w:rsid w:val="009300DC"/>
    <w:rsid w:val="00930B66"/>
    <w:rsid w:val="009314A8"/>
    <w:rsid w:val="00931911"/>
    <w:rsid w:val="009319BF"/>
    <w:rsid w:val="00933901"/>
    <w:rsid w:val="00933FB3"/>
    <w:rsid w:val="00934317"/>
    <w:rsid w:val="00935552"/>
    <w:rsid w:val="00936404"/>
    <w:rsid w:val="0094122C"/>
    <w:rsid w:val="00943431"/>
    <w:rsid w:val="0094725E"/>
    <w:rsid w:val="00953011"/>
    <w:rsid w:val="00955AB4"/>
    <w:rsid w:val="009615AF"/>
    <w:rsid w:val="0096219A"/>
    <w:rsid w:val="00962453"/>
    <w:rsid w:val="009624F0"/>
    <w:rsid w:val="00962EC2"/>
    <w:rsid w:val="00963D61"/>
    <w:rsid w:val="00964B8B"/>
    <w:rsid w:val="00965AF3"/>
    <w:rsid w:val="00967224"/>
    <w:rsid w:val="0096758F"/>
    <w:rsid w:val="00967B13"/>
    <w:rsid w:val="00971B5F"/>
    <w:rsid w:val="00972A51"/>
    <w:rsid w:val="009744A4"/>
    <w:rsid w:val="009766BA"/>
    <w:rsid w:val="00976A6D"/>
    <w:rsid w:val="009777B6"/>
    <w:rsid w:val="0098201C"/>
    <w:rsid w:val="00983601"/>
    <w:rsid w:val="009836BD"/>
    <w:rsid w:val="00984FD1"/>
    <w:rsid w:val="00985737"/>
    <w:rsid w:val="00985D6F"/>
    <w:rsid w:val="00986147"/>
    <w:rsid w:val="009861B2"/>
    <w:rsid w:val="00990CC9"/>
    <w:rsid w:val="00990F7A"/>
    <w:rsid w:val="0099189E"/>
    <w:rsid w:val="00991FCD"/>
    <w:rsid w:val="009923F2"/>
    <w:rsid w:val="009927E7"/>
    <w:rsid w:val="0099421D"/>
    <w:rsid w:val="0099524C"/>
    <w:rsid w:val="009978A9"/>
    <w:rsid w:val="00997DBA"/>
    <w:rsid w:val="009A0AD0"/>
    <w:rsid w:val="009A0C6B"/>
    <w:rsid w:val="009A0E8E"/>
    <w:rsid w:val="009A0F4D"/>
    <w:rsid w:val="009A1046"/>
    <w:rsid w:val="009A1119"/>
    <w:rsid w:val="009A24B4"/>
    <w:rsid w:val="009A397F"/>
    <w:rsid w:val="009A50E3"/>
    <w:rsid w:val="009A53BC"/>
    <w:rsid w:val="009A7BFB"/>
    <w:rsid w:val="009B6D9C"/>
    <w:rsid w:val="009B7849"/>
    <w:rsid w:val="009B79D1"/>
    <w:rsid w:val="009B7F64"/>
    <w:rsid w:val="009C1517"/>
    <w:rsid w:val="009C1967"/>
    <w:rsid w:val="009C3250"/>
    <w:rsid w:val="009C590C"/>
    <w:rsid w:val="009C5E01"/>
    <w:rsid w:val="009C60E3"/>
    <w:rsid w:val="009C61E1"/>
    <w:rsid w:val="009C642F"/>
    <w:rsid w:val="009C6FE3"/>
    <w:rsid w:val="009C71C9"/>
    <w:rsid w:val="009C7F08"/>
    <w:rsid w:val="009D02CB"/>
    <w:rsid w:val="009D0666"/>
    <w:rsid w:val="009D0DB0"/>
    <w:rsid w:val="009D2972"/>
    <w:rsid w:val="009D3244"/>
    <w:rsid w:val="009D47AC"/>
    <w:rsid w:val="009E013D"/>
    <w:rsid w:val="009E14A3"/>
    <w:rsid w:val="009E1C98"/>
    <w:rsid w:val="009E1F29"/>
    <w:rsid w:val="009E26ED"/>
    <w:rsid w:val="009E2AE0"/>
    <w:rsid w:val="009E3ACF"/>
    <w:rsid w:val="009E6B99"/>
    <w:rsid w:val="009F2070"/>
    <w:rsid w:val="009F2197"/>
    <w:rsid w:val="009F2DFF"/>
    <w:rsid w:val="009F3C45"/>
    <w:rsid w:val="009F3DA3"/>
    <w:rsid w:val="009F5CA2"/>
    <w:rsid w:val="009F6561"/>
    <w:rsid w:val="009F6E6E"/>
    <w:rsid w:val="00A0041E"/>
    <w:rsid w:val="00A02405"/>
    <w:rsid w:val="00A02974"/>
    <w:rsid w:val="00A04183"/>
    <w:rsid w:val="00A0629B"/>
    <w:rsid w:val="00A063C6"/>
    <w:rsid w:val="00A10846"/>
    <w:rsid w:val="00A1114B"/>
    <w:rsid w:val="00A11658"/>
    <w:rsid w:val="00A11D74"/>
    <w:rsid w:val="00A1217D"/>
    <w:rsid w:val="00A13DBA"/>
    <w:rsid w:val="00A15140"/>
    <w:rsid w:val="00A157FD"/>
    <w:rsid w:val="00A162E0"/>
    <w:rsid w:val="00A1691C"/>
    <w:rsid w:val="00A170AD"/>
    <w:rsid w:val="00A17889"/>
    <w:rsid w:val="00A225E8"/>
    <w:rsid w:val="00A22968"/>
    <w:rsid w:val="00A2377D"/>
    <w:rsid w:val="00A24293"/>
    <w:rsid w:val="00A26E1D"/>
    <w:rsid w:val="00A274D0"/>
    <w:rsid w:val="00A27CEE"/>
    <w:rsid w:val="00A30A43"/>
    <w:rsid w:val="00A30ACC"/>
    <w:rsid w:val="00A34B57"/>
    <w:rsid w:val="00A36B29"/>
    <w:rsid w:val="00A41950"/>
    <w:rsid w:val="00A42DD4"/>
    <w:rsid w:val="00A435D3"/>
    <w:rsid w:val="00A43CFB"/>
    <w:rsid w:val="00A46E7D"/>
    <w:rsid w:val="00A47F6E"/>
    <w:rsid w:val="00A52B62"/>
    <w:rsid w:val="00A5447B"/>
    <w:rsid w:val="00A54538"/>
    <w:rsid w:val="00A54F4A"/>
    <w:rsid w:val="00A55044"/>
    <w:rsid w:val="00A556B0"/>
    <w:rsid w:val="00A57848"/>
    <w:rsid w:val="00A60503"/>
    <w:rsid w:val="00A62807"/>
    <w:rsid w:val="00A62937"/>
    <w:rsid w:val="00A6329E"/>
    <w:rsid w:val="00A63740"/>
    <w:rsid w:val="00A64E93"/>
    <w:rsid w:val="00A65BAC"/>
    <w:rsid w:val="00A65F9E"/>
    <w:rsid w:val="00A65FEE"/>
    <w:rsid w:val="00A67979"/>
    <w:rsid w:val="00A739CB"/>
    <w:rsid w:val="00A75218"/>
    <w:rsid w:val="00A806D5"/>
    <w:rsid w:val="00A81372"/>
    <w:rsid w:val="00A81E7E"/>
    <w:rsid w:val="00A8305C"/>
    <w:rsid w:val="00A83386"/>
    <w:rsid w:val="00A83798"/>
    <w:rsid w:val="00A8663C"/>
    <w:rsid w:val="00A86B75"/>
    <w:rsid w:val="00A86F8E"/>
    <w:rsid w:val="00A87F6D"/>
    <w:rsid w:val="00A90419"/>
    <w:rsid w:val="00A97374"/>
    <w:rsid w:val="00AA0CBD"/>
    <w:rsid w:val="00AA2996"/>
    <w:rsid w:val="00AA2D1E"/>
    <w:rsid w:val="00AA3E91"/>
    <w:rsid w:val="00AA3FB3"/>
    <w:rsid w:val="00AA545A"/>
    <w:rsid w:val="00AA6803"/>
    <w:rsid w:val="00AA6831"/>
    <w:rsid w:val="00AB063D"/>
    <w:rsid w:val="00AB22B1"/>
    <w:rsid w:val="00AB3697"/>
    <w:rsid w:val="00AB3F42"/>
    <w:rsid w:val="00AB5BDE"/>
    <w:rsid w:val="00AB6A50"/>
    <w:rsid w:val="00AB7894"/>
    <w:rsid w:val="00AB7A99"/>
    <w:rsid w:val="00AB7CD2"/>
    <w:rsid w:val="00AC2366"/>
    <w:rsid w:val="00AC305E"/>
    <w:rsid w:val="00AC3FA5"/>
    <w:rsid w:val="00AC4055"/>
    <w:rsid w:val="00AC4786"/>
    <w:rsid w:val="00AC4E4E"/>
    <w:rsid w:val="00AC5DCC"/>
    <w:rsid w:val="00AC63CE"/>
    <w:rsid w:val="00AC73D0"/>
    <w:rsid w:val="00AC7E51"/>
    <w:rsid w:val="00AD0751"/>
    <w:rsid w:val="00AD14AE"/>
    <w:rsid w:val="00AD22F6"/>
    <w:rsid w:val="00AD26ED"/>
    <w:rsid w:val="00AD32DA"/>
    <w:rsid w:val="00AD3E6C"/>
    <w:rsid w:val="00AD6F1F"/>
    <w:rsid w:val="00AD7139"/>
    <w:rsid w:val="00AE252F"/>
    <w:rsid w:val="00AE2A50"/>
    <w:rsid w:val="00AE2B17"/>
    <w:rsid w:val="00AE2BE3"/>
    <w:rsid w:val="00AE5675"/>
    <w:rsid w:val="00AF1E24"/>
    <w:rsid w:val="00AF1EC6"/>
    <w:rsid w:val="00AF23F3"/>
    <w:rsid w:val="00AF249C"/>
    <w:rsid w:val="00AF25A5"/>
    <w:rsid w:val="00AF3B10"/>
    <w:rsid w:val="00AF4C89"/>
    <w:rsid w:val="00AF660C"/>
    <w:rsid w:val="00AF699D"/>
    <w:rsid w:val="00AF734B"/>
    <w:rsid w:val="00B0048B"/>
    <w:rsid w:val="00B0110F"/>
    <w:rsid w:val="00B024F4"/>
    <w:rsid w:val="00B02807"/>
    <w:rsid w:val="00B031BE"/>
    <w:rsid w:val="00B03847"/>
    <w:rsid w:val="00B05533"/>
    <w:rsid w:val="00B05BDA"/>
    <w:rsid w:val="00B0730A"/>
    <w:rsid w:val="00B10A08"/>
    <w:rsid w:val="00B12AD9"/>
    <w:rsid w:val="00B12AE1"/>
    <w:rsid w:val="00B15BA6"/>
    <w:rsid w:val="00B15BB4"/>
    <w:rsid w:val="00B15BE8"/>
    <w:rsid w:val="00B16FC2"/>
    <w:rsid w:val="00B17920"/>
    <w:rsid w:val="00B20B82"/>
    <w:rsid w:val="00B22106"/>
    <w:rsid w:val="00B225FD"/>
    <w:rsid w:val="00B23FE1"/>
    <w:rsid w:val="00B25334"/>
    <w:rsid w:val="00B34FB5"/>
    <w:rsid w:val="00B3595B"/>
    <w:rsid w:val="00B36FC4"/>
    <w:rsid w:val="00B37AA1"/>
    <w:rsid w:val="00B40B8F"/>
    <w:rsid w:val="00B410E9"/>
    <w:rsid w:val="00B41556"/>
    <w:rsid w:val="00B42106"/>
    <w:rsid w:val="00B421EA"/>
    <w:rsid w:val="00B42673"/>
    <w:rsid w:val="00B433E3"/>
    <w:rsid w:val="00B438C4"/>
    <w:rsid w:val="00B43BF2"/>
    <w:rsid w:val="00B44D0E"/>
    <w:rsid w:val="00B4756D"/>
    <w:rsid w:val="00B5186A"/>
    <w:rsid w:val="00B51AF6"/>
    <w:rsid w:val="00B54132"/>
    <w:rsid w:val="00B5457F"/>
    <w:rsid w:val="00B54918"/>
    <w:rsid w:val="00B55316"/>
    <w:rsid w:val="00B5591E"/>
    <w:rsid w:val="00B55C8F"/>
    <w:rsid w:val="00B55FC0"/>
    <w:rsid w:val="00B617C5"/>
    <w:rsid w:val="00B61A10"/>
    <w:rsid w:val="00B63057"/>
    <w:rsid w:val="00B645DB"/>
    <w:rsid w:val="00B675E0"/>
    <w:rsid w:val="00B70F8B"/>
    <w:rsid w:val="00B716C1"/>
    <w:rsid w:val="00B73E87"/>
    <w:rsid w:val="00B7400F"/>
    <w:rsid w:val="00B749E4"/>
    <w:rsid w:val="00B7530B"/>
    <w:rsid w:val="00B77678"/>
    <w:rsid w:val="00B807E7"/>
    <w:rsid w:val="00B80A29"/>
    <w:rsid w:val="00B81097"/>
    <w:rsid w:val="00B810A2"/>
    <w:rsid w:val="00B814C4"/>
    <w:rsid w:val="00B81BB8"/>
    <w:rsid w:val="00B875F2"/>
    <w:rsid w:val="00B90B28"/>
    <w:rsid w:val="00B919DA"/>
    <w:rsid w:val="00B9414B"/>
    <w:rsid w:val="00B95ECE"/>
    <w:rsid w:val="00B96044"/>
    <w:rsid w:val="00B9624F"/>
    <w:rsid w:val="00B970D9"/>
    <w:rsid w:val="00B974C7"/>
    <w:rsid w:val="00B97759"/>
    <w:rsid w:val="00B97AC8"/>
    <w:rsid w:val="00BA3278"/>
    <w:rsid w:val="00BA3EFE"/>
    <w:rsid w:val="00BA4CC3"/>
    <w:rsid w:val="00BB0976"/>
    <w:rsid w:val="00BB0DAA"/>
    <w:rsid w:val="00BB23DD"/>
    <w:rsid w:val="00BB2FAD"/>
    <w:rsid w:val="00BB3F0B"/>
    <w:rsid w:val="00BB5143"/>
    <w:rsid w:val="00BB570D"/>
    <w:rsid w:val="00BC1BEC"/>
    <w:rsid w:val="00BC1EAE"/>
    <w:rsid w:val="00BC2443"/>
    <w:rsid w:val="00BC3408"/>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F14D1"/>
    <w:rsid w:val="00BF1871"/>
    <w:rsid w:val="00BF18BA"/>
    <w:rsid w:val="00BF4050"/>
    <w:rsid w:val="00BF6783"/>
    <w:rsid w:val="00BF68AB"/>
    <w:rsid w:val="00BF7C1F"/>
    <w:rsid w:val="00BF7C24"/>
    <w:rsid w:val="00BF7CFE"/>
    <w:rsid w:val="00C000D7"/>
    <w:rsid w:val="00C00154"/>
    <w:rsid w:val="00C0207B"/>
    <w:rsid w:val="00C04E1E"/>
    <w:rsid w:val="00C055EF"/>
    <w:rsid w:val="00C06659"/>
    <w:rsid w:val="00C07AD8"/>
    <w:rsid w:val="00C106E6"/>
    <w:rsid w:val="00C14975"/>
    <w:rsid w:val="00C1568C"/>
    <w:rsid w:val="00C16194"/>
    <w:rsid w:val="00C17A93"/>
    <w:rsid w:val="00C204AA"/>
    <w:rsid w:val="00C220BA"/>
    <w:rsid w:val="00C226EB"/>
    <w:rsid w:val="00C25051"/>
    <w:rsid w:val="00C25708"/>
    <w:rsid w:val="00C3242C"/>
    <w:rsid w:val="00C361A5"/>
    <w:rsid w:val="00C36730"/>
    <w:rsid w:val="00C36AA9"/>
    <w:rsid w:val="00C36ABA"/>
    <w:rsid w:val="00C36DA7"/>
    <w:rsid w:val="00C40040"/>
    <w:rsid w:val="00C42485"/>
    <w:rsid w:val="00C4288C"/>
    <w:rsid w:val="00C436D0"/>
    <w:rsid w:val="00C44A9B"/>
    <w:rsid w:val="00C452E3"/>
    <w:rsid w:val="00C454AC"/>
    <w:rsid w:val="00C46AB7"/>
    <w:rsid w:val="00C47A7C"/>
    <w:rsid w:val="00C51FED"/>
    <w:rsid w:val="00C52655"/>
    <w:rsid w:val="00C533CC"/>
    <w:rsid w:val="00C54461"/>
    <w:rsid w:val="00C55424"/>
    <w:rsid w:val="00C55549"/>
    <w:rsid w:val="00C55B9B"/>
    <w:rsid w:val="00C57785"/>
    <w:rsid w:val="00C57C10"/>
    <w:rsid w:val="00C60758"/>
    <w:rsid w:val="00C625F8"/>
    <w:rsid w:val="00C636F3"/>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3601"/>
    <w:rsid w:val="00C84D47"/>
    <w:rsid w:val="00C9076A"/>
    <w:rsid w:val="00C91588"/>
    <w:rsid w:val="00C91E29"/>
    <w:rsid w:val="00C92699"/>
    <w:rsid w:val="00C944ED"/>
    <w:rsid w:val="00C95D5A"/>
    <w:rsid w:val="00CA4CAB"/>
    <w:rsid w:val="00CA4CD4"/>
    <w:rsid w:val="00CA5734"/>
    <w:rsid w:val="00CA5C10"/>
    <w:rsid w:val="00CA6644"/>
    <w:rsid w:val="00CA6E2D"/>
    <w:rsid w:val="00CB33E6"/>
    <w:rsid w:val="00CB5569"/>
    <w:rsid w:val="00CB5A31"/>
    <w:rsid w:val="00CC0423"/>
    <w:rsid w:val="00CC153A"/>
    <w:rsid w:val="00CC153C"/>
    <w:rsid w:val="00CC1D7D"/>
    <w:rsid w:val="00CC27DE"/>
    <w:rsid w:val="00CC419B"/>
    <w:rsid w:val="00CC4883"/>
    <w:rsid w:val="00CC5BA7"/>
    <w:rsid w:val="00CC5E68"/>
    <w:rsid w:val="00CC5F26"/>
    <w:rsid w:val="00CC6415"/>
    <w:rsid w:val="00CC77CC"/>
    <w:rsid w:val="00CD1976"/>
    <w:rsid w:val="00CD2CE8"/>
    <w:rsid w:val="00CD38A6"/>
    <w:rsid w:val="00CD38BC"/>
    <w:rsid w:val="00CD3E1B"/>
    <w:rsid w:val="00CD5E85"/>
    <w:rsid w:val="00CD7272"/>
    <w:rsid w:val="00CD73BB"/>
    <w:rsid w:val="00CE00C8"/>
    <w:rsid w:val="00CE0A62"/>
    <w:rsid w:val="00CE15C9"/>
    <w:rsid w:val="00CE354D"/>
    <w:rsid w:val="00CE35BF"/>
    <w:rsid w:val="00CE37F2"/>
    <w:rsid w:val="00CE47D8"/>
    <w:rsid w:val="00CE63F3"/>
    <w:rsid w:val="00CE7AAD"/>
    <w:rsid w:val="00CF1AE0"/>
    <w:rsid w:val="00CF1D57"/>
    <w:rsid w:val="00CF392D"/>
    <w:rsid w:val="00CF4105"/>
    <w:rsid w:val="00CF4F7C"/>
    <w:rsid w:val="00CF602E"/>
    <w:rsid w:val="00CF7A3E"/>
    <w:rsid w:val="00CF7E18"/>
    <w:rsid w:val="00D004B1"/>
    <w:rsid w:val="00D0099C"/>
    <w:rsid w:val="00D039E9"/>
    <w:rsid w:val="00D050F8"/>
    <w:rsid w:val="00D05E53"/>
    <w:rsid w:val="00D06093"/>
    <w:rsid w:val="00D07FFA"/>
    <w:rsid w:val="00D10DDF"/>
    <w:rsid w:val="00D11772"/>
    <w:rsid w:val="00D11DA9"/>
    <w:rsid w:val="00D12198"/>
    <w:rsid w:val="00D128E1"/>
    <w:rsid w:val="00D13F66"/>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40039"/>
    <w:rsid w:val="00D40598"/>
    <w:rsid w:val="00D41267"/>
    <w:rsid w:val="00D41FBF"/>
    <w:rsid w:val="00D430C5"/>
    <w:rsid w:val="00D432D7"/>
    <w:rsid w:val="00D432FB"/>
    <w:rsid w:val="00D43DAC"/>
    <w:rsid w:val="00D47BC3"/>
    <w:rsid w:val="00D47F75"/>
    <w:rsid w:val="00D500B5"/>
    <w:rsid w:val="00D50231"/>
    <w:rsid w:val="00D50B9E"/>
    <w:rsid w:val="00D51B0A"/>
    <w:rsid w:val="00D5417D"/>
    <w:rsid w:val="00D54197"/>
    <w:rsid w:val="00D546CF"/>
    <w:rsid w:val="00D54EB6"/>
    <w:rsid w:val="00D55DB8"/>
    <w:rsid w:val="00D569DA"/>
    <w:rsid w:val="00D57040"/>
    <w:rsid w:val="00D57C90"/>
    <w:rsid w:val="00D57FC6"/>
    <w:rsid w:val="00D61002"/>
    <w:rsid w:val="00D62D27"/>
    <w:rsid w:val="00D62F97"/>
    <w:rsid w:val="00D64430"/>
    <w:rsid w:val="00D66F76"/>
    <w:rsid w:val="00D7037F"/>
    <w:rsid w:val="00D70580"/>
    <w:rsid w:val="00D705BB"/>
    <w:rsid w:val="00D711A6"/>
    <w:rsid w:val="00D7149A"/>
    <w:rsid w:val="00D719ED"/>
    <w:rsid w:val="00D72E5F"/>
    <w:rsid w:val="00D7335F"/>
    <w:rsid w:val="00D73C15"/>
    <w:rsid w:val="00D77E82"/>
    <w:rsid w:val="00D8009A"/>
    <w:rsid w:val="00D8019F"/>
    <w:rsid w:val="00D81515"/>
    <w:rsid w:val="00D81786"/>
    <w:rsid w:val="00D819C6"/>
    <w:rsid w:val="00D82392"/>
    <w:rsid w:val="00D82AB8"/>
    <w:rsid w:val="00D840A7"/>
    <w:rsid w:val="00D85195"/>
    <w:rsid w:val="00D90C2C"/>
    <w:rsid w:val="00D91785"/>
    <w:rsid w:val="00D9316C"/>
    <w:rsid w:val="00D947A5"/>
    <w:rsid w:val="00D950D4"/>
    <w:rsid w:val="00D96E5B"/>
    <w:rsid w:val="00D96EFD"/>
    <w:rsid w:val="00D973B1"/>
    <w:rsid w:val="00D97A6F"/>
    <w:rsid w:val="00D97C6C"/>
    <w:rsid w:val="00DA0423"/>
    <w:rsid w:val="00DA1371"/>
    <w:rsid w:val="00DA3186"/>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71C7"/>
    <w:rsid w:val="00DC7C15"/>
    <w:rsid w:val="00DC7D13"/>
    <w:rsid w:val="00DD2117"/>
    <w:rsid w:val="00DD478B"/>
    <w:rsid w:val="00DD53DD"/>
    <w:rsid w:val="00DD7096"/>
    <w:rsid w:val="00DD7861"/>
    <w:rsid w:val="00DE035C"/>
    <w:rsid w:val="00DE08F4"/>
    <w:rsid w:val="00DE1D81"/>
    <w:rsid w:val="00DE2B01"/>
    <w:rsid w:val="00DE430E"/>
    <w:rsid w:val="00DE451C"/>
    <w:rsid w:val="00DE5DE6"/>
    <w:rsid w:val="00DF12D9"/>
    <w:rsid w:val="00DF153C"/>
    <w:rsid w:val="00DF1D88"/>
    <w:rsid w:val="00DF1FD6"/>
    <w:rsid w:val="00DF6841"/>
    <w:rsid w:val="00DF7707"/>
    <w:rsid w:val="00E031AA"/>
    <w:rsid w:val="00E034C9"/>
    <w:rsid w:val="00E03BCC"/>
    <w:rsid w:val="00E04370"/>
    <w:rsid w:val="00E0441E"/>
    <w:rsid w:val="00E044EB"/>
    <w:rsid w:val="00E04DFA"/>
    <w:rsid w:val="00E06ABF"/>
    <w:rsid w:val="00E07E2B"/>
    <w:rsid w:val="00E10154"/>
    <w:rsid w:val="00E11912"/>
    <w:rsid w:val="00E11AFD"/>
    <w:rsid w:val="00E13CE0"/>
    <w:rsid w:val="00E14AB2"/>
    <w:rsid w:val="00E14EF0"/>
    <w:rsid w:val="00E156C7"/>
    <w:rsid w:val="00E1582D"/>
    <w:rsid w:val="00E1736C"/>
    <w:rsid w:val="00E201A5"/>
    <w:rsid w:val="00E2076B"/>
    <w:rsid w:val="00E21081"/>
    <w:rsid w:val="00E2782A"/>
    <w:rsid w:val="00E31CB4"/>
    <w:rsid w:val="00E33CB9"/>
    <w:rsid w:val="00E349E1"/>
    <w:rsid w:val="00E362DA"/>
    <w:rsid w:val="00E36FCE"/>
    <w:rsid w:val="00E424B7"/>
    <w:rsid w:val="00E4355F"/>
    <w:rsid w:val="00E43645"/>
    <w:rsid w:val="00E43D58"/>
    <w:rsid w:val="00E46893"/>
    <w:rsid w:val="00E46B95"/>
    <w:rsid w:val="00E46E83"/>
    <w:rsid w:val="00E47668"/>
    <w:rsid w:val="00E50F00"/>
    <w:rsid w:val="00E52C77"/>
    <w:rsid w:val="00E5429B"/>
    <w:rsid w:val="00E5443A"/>
    <w:rsid w:val="00E5457B"/>
    <w:rsid w:val="00E55F60"/>
    <w:rsid w:val="00E56496"/>
    <w:rsid w:val="00E56544"/>
    <w:rsid w:val="00E57BCC"/>
    <w:rsid w:val="00E603F2"/>
    <w:rsid w:val="00E6066B"/>
    <w:rsid w:val="00E6106D"/>
    <w:rsid w:val="00E62126"/>
    <w:rsid w:val="00E63364"/>
    <w:rsid w:val="00E63AE1"/>
    <w:rsid w:val="00E6480B"/>
    <w:rsid w:val="00E648B0"/>
    <w:rsid w:val="00E6630F"/>
    <w:rsid w:val="00E66731"/>
    <w:rsid w:val="00E6776A"/>
    <w:rsid w:val="00E706E2"/>
    <w:rsid w:val="00E7070A"/>
    <w:rsid w:val="00E720AC"/>
    <w:rsid w:val="00E759BE"/>
    <w:rsid w:val="00E7601A"/>
    <w:rsid w:val="00E7692D"/>
    <w:rsid w:val="00E77401"/>
    <w:rsid w:val="00E81CBA"/>
    <w:rsid w:val="00E83CF2"/>
    <w:rsid w:val="00E8678C"/>
    <w:rsid w:val="00E86ECE"/>
    <w:rsid w:val="00E9030E"/>
    <w:rsid w:val="00E90527"/>
    <w:rsid w:val="00E91AAA"/>
    <w:rsid w:val="00E9360D"/>
    <w:rsid w:val="00E9405A"/>
    <w:rsid w:val="00EA0000"/>
    <w:rsid w:val="00EA0197"/>
    <w:rsid w:val="00EA0214"/>
    <w:rsid w:val="00EA25FC"/>
    <w:rsid w:val="00EA28C3"/>
    <w:rsid w:val="00EA2ADB"/>
    <w:rsid w:val="00EA504D"/>
    <w:rsid w:val="00EA70B5"/>
    <w:rsid w:val="00EA7140"/>
    <w:rsid w:val="00EA785C"/>
    <w:rsid w:val="00EB01FB"/>
    <w:rsid w:val="00EB1BEE"/>
    <w:rsid w:val="00EB2B82"/>
    <w:rsid w:val="00EB5BFA"/>
    <w:rsid w:val="00EC05D9"/>
    <w:rsid w:val="00EC11EA"/>
    <w:rsid w:val="00EC2743"/>
    <w:rsid w:val="00EC3AEC"/>
    <w:rsid w:val="00EC3B6E"/>
    <w:rsid w:val="00EC4AFF"/>
    <w:rsid w:val="00EC4C45"/>
    <w:rsid w:val="00EC4C96"/>
    <w:rsid w:val="00EC514E"/>
    <w:rsid w:val="00EC534F"/>
    <w:rsid w:val="00EC609F"/>
    <w:rsid w:val="00EC60A5"/>
    <w:rsid w:val="00EC7081"/>
    <w:rsid w:val="00ED0F3C"/>
    <w:rsid w:val="00ED176C"/>
    <w:rsid w:val="00ED1BAD"/>
    <w:rsid w:val="00ED1D02"/>
    <w:rsid w:val="00ED1FB1"/>
    <w:rsid w:val="00ED277A"/>
    <w:rsid w:val="00ED4E85"/>
    <w:rsid w:val="00ED5D84"/>
    <w:rsid w:val="00EE01EE"/>
    <w:rsid w:val="00EE0E35"/>
    <w:rsid w:val="00EE5378"/>
    <w:rsid w:val="00EE6551"/>
    <w:rsid w:val="00EE6D25"/>
    <w:rsid w:val="00EE7867"/>
    <w:rsid w:val="00EE7BDC"/>
    <w:rsid w:val="00EF1AF6"/>
    <w:rsid w:val="00EF1D6C"/>
    <w:rsid w:val="00EF293D"/>
    <w:rsid w:val="00EF310F"/>
    <w:rsid w:val="00EF43BB"/>
    <w:rsid w:val="00EF7432"/>
    <w:rsid w:val="00F00FCB"/>
    <w:rsid w:val="00F01213"/>
    <w:rsid w:val="00F01DF4"/>
    <w:rsid w:val="00F058B2"/>
    <w:rsid w:val="00F05B5B"/>
    <w:rsid w:val="00F10506"/>
    <w:rsid w:val="00F10B53"/>
    <w:rsid w:val="00F1313A"/>
    <w:rsid w:val="00F143A5"/>
    <w:rsid w:val="00F20795"/>
    <w:rsid w:val="00F2094B"/>
    <w:rsid w:val="00F2180C"/>
    <w:rsid w:val="00F23066"/>
    <w:rsid w:val="00F23082"/>
    <w:rsid w:val="00F230A1"/>
    <w:rsid w:val="00F23E6F"/>
    <w:rsid w:val="00F24ABE"/>
    <w:rsid w:val="00F2528B"/>
    <w:rsid w:val="00F25984"/>
    <w:rsid w:val="00F26A2D"/>
    <w:rsid w:val="00F2718A"/>
    <w:rsid w:val="00F30303"/>
    <w:rsid w:val="00F317D8"/>
    <w:rsid w:val="00F321CF"/>
    <w:rsid w:val="00F32803"/>
    <w:rsid w:val="00F3280D"/>
    <w:rsid w:val="00F32BA1"/>
    <w:rsid w:val="00F33510"/>
    <w:rsid w:val="00F34E37"/>
    <w:rsid w:val="00F35D67"/>
    <w:rsid w:val="00F361E9"/>
    <w:rsid w:val="00F362BD"/>
    <w:rsid w:val="00F363DE"/>
    <w:rsid w:val="00F37D7A"/>
    <w:rsid w:val="00F4208A"/>
    <w:rsid w:val="00F44CA9"/>
    <w:rsid w:val="00F451C5"/>
    <w:rsid w:val="00F4587E"/>
    <w:rsid w:val="00F460DE"/>
    <w:rsid w:val="00F518EF"/>
    <w:rsid w:val="00F519E1"/>
    <w:rsid w:val="00F51AE5"/>
    <w:rsid w:val="00F534CE"/>
    <w:rsid w:val="00F545EC"/>
    <w:rsid w:val="00F553C4"/>
    <w:rsid w:val="00F57187"/>
    <w:rsid w:val="00F6317B"/>
    <w:rsid w:val="00F63457"/>
    <w:rsid w:val="00F636DA"/>
    <w:rsid w:val="00F6379B"/>
    <w:rsid w:val="00F64EFC"/>
    <w:rsid w:val="00F653D5"/>
    <w:rsid w:val="00F65C8F"/>
    <w:rsid w:val="00F66133"/>
    <w:rsid w:val="00F67945"/>
    <w:rsid w:val="00F71DD5"/>
    <w:rsid w:val="00F72EF7"/>
    <w:rsid w:val="00F732AA"/>
    <w:rsid w:val="00F736FF"/>
    <w:rsid w:val="00F73E10"/>
    <w:rsid w:val="00F753E2"/>
    <w:rsid w:val="00F75607"/>
    <w:rsid w:val="00F765FD"/>
    <w:rsid w:val="00F77C22"/>
    <w:rsid w:val="00F80843"/>
    <w:rsid w:val="00F81021"/>
    <w:rsid w:val="00F81058"/>
    <w:rsid w:val="00F83EF6"/>
    <w:rsid w:val="00F840DB"/>
    <w:rsid w:val="00F867B0"/>
    <w:rsid w:val="00F86E1D"/>
    <w:rsid w:val="00F870DB"/>
    <w:rsid w:val="00F92A27"/>
    <w:rsid w:val="00F93A84"/>
    <w:rsid w:val="00F94907"/>
    <w:rsid w:val="00F94B4B"/>
    <w:rsid w:val="00F94BAD"/>
    <w:rsid w:val="00F97DD1"/>
    <w:rsid w:val="00FA0264"/>
    <w:rsid w:val="00FA1658"/>
    <w:rsid w:val="00FA29DD"/>
    <w:rsid w:val="00FA3C80"/>
    <w:rsid w:val="00FA50BF"/>
    <w:rsid w:val="00FA58C8"/>
    <w:rsid w:val="00FB0C69"/>
    <w:rsid w:val="00FB0D77"/>
    <w:rsid w:val="00FB638A"/>
    <w:rsid w:val="00FB67CF"/>
    <w:rsid w:val="00FB70D3"/>
    <w:rsid w:val="00FB7B5D"/>
    <w:rsid w:val="00FC0DCE"/>
    <w:rsid w:val="00FC0F74"/>
    <w:rsid w:val="00FC3420"/>
    <w:rsid w:val="00FC6739"/>
    <w:rsid w:val="00FC726D"/>
    <w:rsid w:val="00FD0EA7"/>
    <w:rsid w:val="00FD1C16"/>
    <w:rsid w:val="00FD3129"/>
    <w:rsid w:val="00FD416B"/>
    <w:rsid w:val="00FD4819"/>
    <w:rsid w:val="00FD50A4"/>
    <w:rsid w:val="00FD73B2"/>
    <w:rsid w:val="00FD79A0"/>
    <w:rsid w:val="00FE056B"/>
    <w:rsid w:val="00FE139D"/>
    <w:rsid w:val="00FE2C0E"/>
    <w:rsid w:val="00FE33E1"/>
    <w:rsid w:val="00FE35B7"/>
    <w:rsid w:val="00FE36E3"/>
    <w:rsid w:val="00FE3E51"/>
    <w:rsid w:val="00FE4304"/>
    <w:rsid w:val="00FE5DB9"/>
    <w:rsid w:val="00FE710E"/>
    <w:rsid w:val="00FF0AE0"/>
    <w:rsid w:val="00FF2332"/>
    <w:rsid w:val="00FF33AC"/>
    <w:rsid w:val="00FF3C8E"/>
    <w:rsid w:val="00FF46FB"/>
    <w:rsid w:val="028D5673"/>
    <w:rsid w:val="049C1B9D"/>
    <w:rsid w:val="04FC263C"/>
    <w:rsid w:val="05BB01E0"/>
    <w:rsid w:val="068F7A3E"/>
    <w:rsid w:val="079A72B4"/>
    <w:rsid w:val="08673048"/>
    <w:rsid w:val="09116EF2"/>
    <w:rsid w:val="09125143"/>
    <w:rsid w:val="0A280EDB"/>
    <w:rsid w:val="0A4C0D82"/>
    <w:rsid w:val="0A6273E5"/>
    <w:rsid w:val="0B180109"/>
    <w:rsid w:val="0E561A26"/>
    <w:rsid w:val="0FA45C75"/>
    <w:rsid w:val="10F7591A"/>
    <w:rsid w:val="12C47BC2"/>
    <w:rsid w:val="14904B4F"/>
    <w:rsid w:val="14D0139F"/>
    <w:rsid w:val="169E77C3"/>
    <w:rsid w:val="188D1AD1"/>
    <w:rsid w:val="18BB3DE3"/>
    <w:rsid w:val="18E82269"/>
    <w:rsid w:val="190C6D9E"/>
    <w:rsid w:val="193F5D90"/>
    <w:rsid w:val="1A3D12D5"/>
    <w:rsid w:val="1AB07CF9"/>
    <w:rsid w:val="1D407957"/>
    <w:rsid w:val="1D7256DA"/>
    <w:rsid w:val="1F957D4E"/>
    <w:rsid w:val="2092257D"/>
    <w:rsid w:val="20C11F9E"/>
    <w:rsid w:val="21891489"/>
    <w:rsid w:val="24161AD9"/>
    <w:rsid w:val="24DB5972"/>
    <w:rsid w:val="25D24FC7"/>
    <w:rsid w:val="26BE50DC"/>
    <w:rsid w:val="284101C7"/>
    <w:rsid w:val="2C6B1CD2"/>
    <w:rsid w:val="3118172F"/>
    <w:rsid w:val="363D3B45"/>
    <w:rsid w:val="36EC6AFA"/>
    <w:rsid w:val="3833171A"/>
    <w:rsid w:val="39C537CC"/>
    <w:rsid w:val="3B0B4681"/>
    <w:rsid w:val="3C1D66FC"/>
    <w:rsid w:val="3E2508ED"/>
    <w:rsid w:val="3F23468E"/>
    <w:rsid w:val="42003C33"/>
    <w:rsid w:val="428F3B1C"/>
    <w:rsid w:val="43D32940"/>
    <w:rsid w:val="44857491"/>
    <w:rsid w:val="44DA064F"/>
    <w:rsid w:val="45F541B0"/>
    <w:rsid w:val="469678CB"/>
    <w:rsid w:val="472F4652"/>
    <w:rsid w:val="489108BA"/>
    <w:rsid w:val="48AD5B29"/>
    <w:rsid w:val="49D205FB"/>
    <w:rsid w:val="4BDD29B6"/>
    <w:rsid w:val="4C2E3C34"/>
    <w:rsid w:val="4D4E69A3"/>
    <w:rsid w:val="4E6A5F38"/>
    <w:rsid w:val="4FD33DE2"/>
    <w:rsid w:val="52F67C97"/>
    <w:rsid w:val="53E36D11"/>
    <w:rsid w:val="54360DBC"/>
    <w:rsid w:val="568B40E3"/>
    <w:rsid w:val="57E24A45"/>
    <w:rsid w:val="58183EF6"/>
    <w:rsid w:val="58EE5871"/>
    <w:rsid w:val="59541B67"/>
    <w:rsid w:val="59822497"/>
    <w:rsid w:val="598A113A"/>
    <w:rsid w:val="59AA3DDB"/>
    <w:rsid w:val="5B5568BB"/>
    <w:rsid w:val="5B564DAB"/>
    <w:rsid w:val="5BBE156E"/>
    <w:rsid w:val="5BC50992"/>
    <w:rsid w:val="5BFF1A71"/>
    <w:rsid w:val="5D2F6ACB"/>
    <w:rsid w:val="5E155C5F"/>
    <w:rsid w:val="611B00ED"/>
    <w:rsid w:val="61243C22"/>
    <w:rsid w:val="63366E5E"/>
    <w:rsid w:val="641E6278"/>
    <w:rsid w:val="679D465C"/>
    <w:rsid w:val="67A07D7A"/>
    <w:rsid w:val="67D53581"/>
    <w:rsid w:val="68077DF9"/>
    <w:rsid w:val="68B277F8"/>
    <w:rsid w:val="69FA08E9"/>
    <w:rsid w:val="6AD65E7A"/>
    <w:rsid w:val="6BFD7559"/>
    <w:rsid w:val="6CF7419C"/>
    <w:rsid w:val="6E56043A"/>
    <w:rsid w:val="6E9677B5"/>
    <w:rsid w:val="70F969E6"/>
    <w:rsid w:val="71DC40A5"/>
    <w:rsid w:val="72750F69"/>
    <w:rsid w:val="72AA5DC0"/>
    <w:rsid w:val="748B769E"/>
    <w:rsid w:val="7715608F"/>
    <w:rsid w:val="78496C6A"/>
    <w:rsid w:val="78993E8E"/>
    <w:rsid w:val="797A6A48"/>
    <w:rsid w:val="7A837AEE"/>
    <w:rsid w:val="7B0C3BFE"/>
    <w:rsid w:val="7B505574"/>
    <w:rsid w:val="7BC04C16"/>
    <w:rsid w:val="7CE45D9E"/>
    <w:rsid w:val="7DD81820"/>
    <w:rsid w:val="7FB80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0"/>
    <w:pPr>
      <w:ind w:firstLine="420" w:firstLineChars="200"/>
    </w:pPr>
  </w:style>
  <w:style w:type="paragraph" w:styleId="3">
    <w:name w:val="annotation text"/>
    <w:basedOn w:val="1"/>
    <w:autoRedefine/>
    <w:semiHidden/>
    <w:unhideWhenUsed/>
    <w:qFormat/>
    <w:uiPriority w:val="99"/>
    <w:pPr>
      <w:jc w:val="left"/>
    </w:pPr>
  </w:style>
  <w:style w:type="paragraph" w:styleId="4">
    <w:name w:val="toc 3"/>
    <w:basedOn w:val="1"/>
    <w:next w:val="1"/>
    <w:autoRedefine/>
    <w:unhideWhenUsed/>
    <w:qFormat/>
    <w:uiPriority w:val="39"/>
    <w:pPr>
      <w:widowControl/>
      <w:spacing w:after="100" w:line="259" w:lineRule="auto"/>
      <w:ind w:left="440"/>
      <w:jc w:val="left"/>
    </w:pPr>
    <w:rPr>
      <w:rFonts w:ascii="等线" w:hAnsi="等线" w:eastAsia="等线" w:cs="Times New Roman"/>
      <w:kern w:val="0"/>
      <w:sz w:val="22"/>
    </w:rPr>
  </w:style>
  <w:style w:type="paragraph" w:styleId="5">
    <w:name w:val="Date"/>
    <w:basedOn w:val="1"/>
    <w:next w:val="1"/>
    <w:link w:val="19"/>
    <w:autoRedefine/>
    <w:semiHidden/>
    <w:unhideWhenUsed/>
    <w:qFormat/>
    <w:uiPriority w:val="99"/>
    <w:pPr>
      <w:ind w:left="100" w:leftChars="2500"/>
    </w:pPr>
  </w:style>
  <w:style w:type="paragraph" w:styleId="6">
    <w:name w:val="Balloon Text"/>
    <w:basedOn w:val="1"/>
    <w:link w:val="30"/>
    <w:autoRedefine/>
    <w:semiHidden/>
    <w:unhideWhenUsed/>
    <w:qFormat/>
    <w:uiPriority w:val="99"/>
    <w:rPr>
      <w:sz w:val="18"/>
      <w:szCs w:val="18"/>
    </w:rPr>
  </w:style>
  <w:style w:type="paragraph" w:styleId="7">
    <w:name w:val="footer"/>
    <w:basedOn w:val="1"/>
    <w:link w:val="22"/>
    <w:autoRedefine/>
    <w:unhideWhenUsed/>
    <w:qFormat/>
    <w:uiPriority w:val="99"/>
    <w:pPr>
      <w:tabs>
        <w:tab w:val="center" w:pos="4153"/>
        <w:tab w:val="right" w:pos="8306"/>
      </w:tabs>
      <w:snapToGrid w:val="0"/>
      <w:jc w:val="left"/>
    </w:pPr>
    <w:rPr>
      <w:sz w:val="18"/>
      <w:szCs w:val="18"/>
    </w:rPr>
  </w:style>
  <w:style w:type="paragraph" w:styleId="8">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pPr>
      <w:widowControl/>
      <w:spacing w:after="100" w:line="259" w:lineRule="auto"/>
      <w:jc w:val="left"/>
    </w:pPr>
    <w:rPr>
      <w:rFonts w:ascii="等线" w:hAnsi="等线" w:eastAsia="等线" w:cs="Times New Roman"/>
      <w:kern w:val="0"/>
      <w:sz w:val="22"/>
    </w:rPr>
  </w:style>
  <w:style w:type="paragraph" w:styleId="10">
    <w:name w:val="toc 2"/>
    <w:basedOn w:val="1"/>
    <w:next w:val="1"/>
    <w:autoRedefine/>
    <w:unhideWhenUsed/>
    <w:qFormat/>
    <w:uiPriority w:val="39"/>
    <w:pPr>
      <w:widowControl/>
      <w:spacing w:after="100" w:line="259" w:lineRule="auto"/>
      <w:ind w:left="220"/>
      <w:jc w:val="left"/>
    </w:pPr>
    <w:rPr>
      <w:rFonts w:ascii="等线" w:hAnsi="等线" w:eastAsia="等线" w:cs="Times New Roman"/>
      <w:kern w:val="0"/>
      <w:sz w:val="22"/>
    </w:rPr>
  </w:style>
  <w:style w:type="paragraph" w:styleId="11">
    <w:name w:val="Normal (Web)"/>
    <w:basedOn w:val="1"/>
    <w:autoRedefine/>
    <w:qFormat/>
    <w:uiPriority w:val="0"/>
    <w:pPr>
      <w:jc w:val="left"/>
    </w:pPr>
    <w:rPr>
      <w:rFonts w:eastAsia="宋体" w:cs="Times New Roman"/>
      <w:kern w:val="0"/>
      <w:sz w:val="24"/>
      <w:szCs w:val="24"/>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FollowedHyperlink"/>
    <w:basedOn w:val="14"/>
    <w:autoRedefine/>
    <w:semiHidden/>
    <w:unhideWhenUsed/>
    <w:qFormat/>
    <w:uiPriority w:val="99"/>
    <w:rPr>
      <w:color w:val="333333"/>
      <w:u w:val="none"/>
    </w:rPr>
  </w:style>
  <w:style w:type="character" w:styleId="16">
    <w:name w:val="Hyperlink"/>
    <w:autoRedefine/>
    <w:unhideWhenUsed/>
    <w:qFormat/>
    <w:uiPriority w:val="99"/>
    <w:rPr>
      <w:color w:val="0563C1"/>
      <w:u w:val="single"/>
    </w:rPr>
  </w:style>
  <w:style w:type="character" w:styleId="17">
    <w:name w:val="annotation reference"/>
    <w:basedOn w:val="14"/>
    <w:autoRedefine/>
    <w:semiHidden/>
    <w:unhideWhenUsed/>
    <w:qFormat/>
    <w:uiPriority w:val="99"/>
    <w:rPr>
      <w:sz w:val="21"/>
      <w:szCs w:val="21"/>
    </w:rPr>
  </w:style>
  <w:style w:type="paragraph" w:customStyle="1" w:styleId="18">
    <w:name w:val="样式1"/>
    <w:basedOn w:val="1"/>
    <w:autoRedefine/>
    <w:qFormat/>
    <w:uiPriority w:val="0"/>
  </w:style>
  <w:style w:type="character" w:customStyle="1" w:styleId="19">
    <w:name w:val="日期 Char"/>
    <w:basedOn w:val="14"/>
    <w:link w:val="5"/>
    <w:autoRedefine/>
    <w:semiHidden/>
    <w:qFormat/>
    <w:uiPriority w:val="99"/>
  </w:style>
  <w:style w:type="paragraph" w:styleId="20">
    <w:name w:val="List Paragraph"/>
    <w:basedOn w:val="1"/>
    <w:autoRedefine/>
    <w:qFormat/>
    <w:uiPriority w:val="99"/>
    <w:pPr>
      <w:ind w:firstLine="420" w:firstLineChars="200"/>
    </w:pPr>
  </w:style>
  <w:style w:type="character" w:customStyle="1" w:styleId="21">
    <w:name w:val="页眉 Char"/>
    <w:basedOn w:val="14"/>
    <w:link w:val="8"/>
    <w:autoRedefine/>
    <w:qFormat/>
    <w:uiPriority w:val="99"/>
    <w:rPr>
      <w:sz w:val="18"/>
      <w:szCs w:val="18"/>
    </w:rPr>
  </w:style>
  <w:style w:type="character" w:customStyle="1" w:styleId="22">
    <w:name w:val="页脚 Char"/>
    <w:basedOn w:val="14"/>
    <w:link w:val="7"/>
    <w:autoRedefine/>
    <w:qFormat/>
    <w:uiPriority w:val="99"/>
    <w:rPr>
      <w:sz w:val="18"/>
      <w:szCs w:val="18"/>
    </w:rPr>
  </w:style>
  <w:style w:type="character" w:customStyle="1" w:styleId="23">
    <w:name w:val="article-icon"/>
    <w:basedOn w:val="14"/>
    <w:autoRedefine/>
    <w:qFormat/>
    <w:uiPriority w:val="0"/>
  </w:style>
  <w:style w:type="character" w:customStyle="1" w:styleId="24">
    <w:name w:val="hover14"/>
    <w:basedOn w:val="14"/>
    <w:autoRedefine/>
    <w:qFormat/>
    <w:uiPriority w:val="0"/>
    <w:rPr>
      <w:shd w:val="clear" w:color="auto" w:fill="929292"/>
    </w:rPr>
  </w:style>
  <w:style w:type="character" w:customStyle="1" w:styleId="25">
    <w:name w:val="hover"/>
    <w:basedOn w:val="14"/>
    <w:autoRedefine/>
    <w:qFormat/>
    <w:uiPriority w:val="0"/>
    <w:rPr>
      <w:shd w:val="clear" w:color="auto" w:fill="929292"/>
    </w:rPr>
  </w:style>
  <w:style w:type="character" w:customStyle="1" w:styleId="26">
    <w:name w:val="hover13"/>
    <w:basedOn w:val="14"/>
    <w:autoRedefine/>
    <w:qFormat/>
    <w:uiPriority w:val="0"/>
    <w:rPr>
      <w:shd w:val="clear" w:color="auto" w:fill="929292"/>
    </w:rPr>
  </w:style>
  <w:style w:type="paragraph" w:customStyle="1" w:styleId="27">
    <w:name w:val="WPSOffice手动目录 1"/>
    <w:autoRedefine/>
    <w:qFormat/>
    <w:uiPriority w:val="0"/>
    <w:rPr>
      <w:rFonts w:ascii="Times New Roman" w:hAnsi="Times New Roman" w:eastAsia="宋体" w:cs="Times New Roman"/>
      <w:lang w:val="en-US" w:eastAsia="zh-CN" w:bidi="ar-SA"/>
    </w:rPr>
  </w:style>
  <w:style w:type="paragraph" w:customStyle="1" w:styleId="28">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9">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30">
    <w:name w:val="批注框文本 Char"/>
    <w:basedOn w:val="14"/>
    <w:link w:val="6"/>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2084</Words>
  <Characters>11882</Characters>
  <Lines>99</Lines>
  <Paragraphs>27</Paragraphs>
  <TotalTime>7</TotalTime>
  <ScaleCrop>false</ScaleCrop>
  <LinksUpToDate>false</LinksUpToDate>
  <CharactersWithSpaces>13939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2023-12-22T03:09:00Z</dcterms:created>
  <dc:creator>Administrator</dc:creator>
  <cp:lastModifiedBy>Mango</cp:lastModifiedBy>
  <dcterms:modified xsi:type="dcterms:W3CDTF">2024-04-22T02:20:40Z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0ED4DE4A9D254C3C80F51D24B0842A79_12</vt:lpwstr>
  </property>
</Properties>
</file>