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44"/>
          <w:szCs w:val="44"/>
        </w:rPr>
      </w:pPr>
    </w:p>
    <w:p>
      <w:pPr>
        <w:rPr>
          <w:sz w:val="44"/>
          <w:szCs w:val="44"/>
        </w:rPr>
      </w:pPr>
    </w:p>
    <w:p>
      <w:pPr>
        <w:rPr>
          <w:sz w:val="44"/>
          <w:szCs w:val="44"/>
        </w:rPr>
      </w:pPr>
    </w:p>
    <w:p>
      <w:pPr>
        <w:jc w:val="center"/>
        <w:rPr>
          <w:rFonts w:ascii="宋体" w:hAnsi="宋体" w:eastAsia="宋体" w:cs="宋体"/>
          <w:b/>
          <w:bCs/>
          <w:sz w:val="44"/>
          <w:szCs w:val="44"/>
        </w:rPr>
      </w:pPr>
      <w:r>
        <w:rPr>
          <w:rFonts w:hint="eastAsia" w:ascii="宋体" w:hAnsi="宋体" w:eastAsia="宋体" w:cs="宋体"/>
          <w:b/>
          <w:bCs/>
          <w:sz w:val="44"/>
          <w:szCs w:val="44"/>
        </w:rPr>
        <w:t>赣州蓉江新区2022年退役军人事务及退役军人待遇专项经费项目支出绩效评价报告</w:t>
      </w:r>
    </w:p>
    <w:p>
      <w:pPr>
        <w:spacing w:line="600" w:lineRule="auto"/>
        <w:jc w:val="center"/>
        <w:rPr>
          <w:rFonts w:cs="仿宋" w:asciiTheme="majorEastAsia" w:hAnsiTheme="majorEastAsia" w:eastAsiaTheme="majorEastAsia"/>
          <w:sz w:val="28"/>
          <w:szCs w:val="28"/>
        </w:rPr>
      </w:pPr>
      <w:r>
        <w:rPr>
          <w:rFonts w:hint="eastAsia" w:cs="仿宋" w:asciiTheme="majorEastAsia" w:hAnsiTheme="majorEastAsia" w:eastAsiaTheme="majorEastAsia"/>
          <w:sz w:val="28"/>
          <w:szCs w:val="28"/>
        </w:rPr>
        <w:t>国众联咨报字﹝2024﹞第5-0033号</w:t>
      </w:r>
    </w:p>
    <w:p>
      <w:pPr>
        <w:jc w:val="center"/>
        <w:rPr>
          <w:rFonts w:cs="仿宋_GB2312" w:asciiTheme="majorEastAsia" w:hAnsiTheme="majorEastAsia" w:eastAsiaTheme="majorEastAsia"/>
          <w:sz w:val="28"/>
          <w:szCs w:val="28"/>
          <w:u w:val="single"/>
        </w:rPr>
      </w:pPr>
    </w:p>
    <w:p/>
    <w:p/>
    <w:p/>
    <w:p/>
    <w:p/>
    <w:p/>
    <w:p/>
    <w:p/>
    <w:p/>
    <w:p/>
    <w:p/>
    <w:p/>
    <w:p/>
    <w:p>
      <w:pPr>
        <w:ind w:left="1600" w:hanging="1600" w:hangingChars="500"/>
        <w:rPr>
          <w:rFonts w:ascii="仿宋" w:hAnsi="仿宋" w:eastAsia="仿宋"/>
          <w:sz w:val="32"/>
          <w:szCs w:val="32"/>
        </w:rPr>
      </w:pPr>
      <w:r>
        <w:rPr>
          <w:rFonts w:hint="eastAsia" w:ascii="仿宋" w:hAnsi="仿宋" w:eastAsia="仿宋"/>
          <w:sz w:val="32"/>
          <w:szCs w:val="32"/>
        </w:rPr>
        <w:t>项目名称：赣州蓉江新区2022年退役军人事务及退役军人待遇专项经费项目</w:t>
      </w:r>
    </w:p>
    <w:p>
      <w:pPr>
        <w:rPr>
          <w:rFonts w:ascii="仿宋" w:hAnsi="仿宋" w:eastAsia="仿宋"/>
          <w:sz w:val="32"/>
          <w:szCs w:val="32"/>
        </w:rPr>
      </w:pPr>
      <w:r>
        <w:rPr>
          <w:rFonts w:hint="eastAsia" w:ascii="仿宋" w:hAnsi="仿宋" w:eastAsia="仿宋"/>
          <w:sz w:val="32"/>
          <w:szCs w:val="32"/>
        </w:rPr>
        <w:t>项目单位：赣州蓉江新区退役军人服务中心</w:t>
      </w:r>
    </w:p>
    <w:p>
      <w:pPr>
        <w:rPr>
          <w:rFonts w:ascii="仿宋" w:hAnsi="仿宋" w:eastAsia="仿宋"/>
          <w:sz w:val="32"/>
          <w:szCs w:val="32"/>
        </w:rPr>
      </w:pPr>
      <w:r>
        <w:rPr>
          <w:rFonts w:hint="eastAsia" w:ascii="仿宋" w:hAnsi="仿宋" w:eastAsia="仿宋"/>
          <w:sz w:val="32"/>
          <w:szCs w:val="32"/>
        </w:rPr>
        <w:t>委托单位：赣州蓉江新区财政局</w:t>
      </w:r>
    </w:p>
    <w:p>
      <w:pPr>
        <w:rPr>
          <w:rFonts w:ascii="仿宋" w:hAnsi="仿宋" w:eastAsia="仿宋"/>
          <w:sz w:val="32"/>
          <w:szCs w:val="32"/>
        </w:rPr>
      </w:pPr>
      <w:r>
        <w:rPr>
          <w:rFonts w:hint="eastAsia" w:ascii="仿宋" w:hAnsi="仿宋" w:eastAsia="仿宋"/>
          <w:sz w:val="32"/>
          <w:szCs w:val="32"/>
        </w:rPr>
        <w:t>评价机构：国众联资产评估土地房地产估价有限公司</w:t>
      </w:r>
    </w:p>
    <w:p>
      <w:pPr>
        <w:rPr>
          <w:rFonts w:ascii="仿宋" w:hAnsi="仿宋" w:eastAsia="仿宋"/>
          <w:sz w:val="32"/>
          <w:szCs w:val="32"/>
        </w:rPr>
      </w:pPr>
      <w:r>
        <w:rPr>
          <w:rFonts w:hint="eastAsia" w:ascii="仿宋" w:hAnsi="仿宋" w:eastAsia="仿宋"/>
          <w:sz w:val="32"/>
          <w:szCs w:val="32"/>
        </w:rPr>
        <w:t>报告日期：二零二</w:t>
      </w:r>
      <w:r>
        <w:rPr>
          <w:rFonts w:hint="eastAsia" w:ascii="仿宋" w:hAnsi="仿宋" w:eastAsia="仿宋"/>
          <w:sz w:val="32"/>
          <w:szCs w:val="32"/>
          <w:lang w:val="en-US" w:eastAsia="zh-CN"/>
        </w:rPr>
        <w:t>三</w:t>
      </w:r>
      <w:r>
        <w:rPr>
          <w:rFonts w:hint="eastAsia" w:ascii="仿宋" w:hAnsi="仿宋" w:eastAsia="仿宋"/>
          <w:sz w:val="32"/>
          <w:szCs w:val="32"/>
        </w:rPr>
        <w:t>年</w:t>
      </w:r>
      <w:r>
        <w:rPr>
          <w:rFonts w:hint="eastAsia" w:ascii="仿宋" w:hAnsi="仿宋" w:eastAsia="仿宋"/>
          <w:sz w:val="32"/>
          <w:szCs w:val="32"/>
          <w:lang w:val="en-US" w:eastAsia="zh-CN"/>
        </w:rPr>
        <w:t>十二</w:t>
      </w:r>
      <w:r>
        <w:rPr>
          <w:rFonts w:hint="eastAsia" w:ascii="仿宋" w:hAnsi="仿宋" w:eastAsia="仿宋"/>
          <w:sz w:val="32"/>
          <w:szCs w:val="32"/>
        </w:rPr>
        <w:t>月</w:t>
      </w:r>
    </w:p>
    <w:p>
      <w:pPr>
        <w:spacing w:line="560" w:lineRule="exact"/>
        <w:rPr>
          <w:rFonts w:ascii="仿宋" w:hAnsi="仿宋" w:eastAsia="仿宋" w:cs="仿宋"/>
          <w:b/>
          <w:sz w:val="36"/>
          <w:szCs w:val="36"/>
        </w:rPr>
      </w:pPr>
    </w:p>
    <w:p>
      <w:pPr>
        <w:rPr>
          <w:rFonts w:ascii="仿宋" w:hAnsi="仿宋" w:eastAsia="仿宋" w:cs="仿宋"/>
          <w:b/>
          <w:sz w:val="32"/>
          <w:szCs w:val="32"/>
        </w:rPr>
      </w:pPr>
      <w:r>
        <w:rPr>
          <w:rFonts w:hint="eastAsia" w:ascii="仿宋" w:hAnsi="仿宋" w:eastAsia="仿宋" w:cs="仿宋"/>
          <w:b/>
          <w:sz w:val="32"/>
          <w:szCs w:val="32"/>
        </w:rPr>
        <w:br w:type="page"/>
      </w:r>
    </w:p>
    <w:p>
      <w:pPr>
        <w:jc w:val="center"/>
        <w:rPr>
          <w:rFonts w:ascii="宋体" w:hAnsi="宋体" w:eastAsia="宋体" w:cs="宋体"/>
          <w:b/>
          <w:bCs/>
          <w:sz w:val="44"/>
          <w:szCs w:val="44"/>
        </w:rPr>
      </w:pPr>
      <w:r>
        <w:rPr>
          <w:rFonts w:hint="eastAsia" w:ascii="宋体" w:hAnsi="宋体" w:eastAsia="宋体" w:cs="宋体"/>
          <w:b/>
          <w:bCs/>
          <w:sz w:val="44"/>
          <w:szCs w:val="44"/>
        </w:rPr>
        <w:t>摘 要</w:t>
      </w:r>
    </w:p>
    <w:p>
      <w:pPr>
        <w:rPr>
          <w:rFonts w:ascii="仿宋" w:hAnsi="仿宋" w:eastAsia="仿宋" w:cs="仿宋"/>
          <w:b/>
          <w:bCs/>
          <w:sz w:val="32"/>
          <w:szCs w:val="32"/>
        </w:rPr>
      </w:pPr>
      <w:r>
        <w:rPr>
          <w:rFonts w:hint="eastAsia" w:ascii="仿宋" w:hAnsi="仿宋" w:eastAsia="仿宋" w:cs="仿宋"/>
          <w:b/>
          <w:bCs/>
          <w:sz w:val="32"/>
          <w:szCs w:val="32"/>
        </w:rPr>
        <w:t>一、项目实施概况</w:t>
      </w:r>
    </w:p>
    <w:p>
      <w:pPr>
        <w:ind w:firstLine="640" w:firstLineChars="200"/>
        <w:rPr>
          <w:rFonts w:ascii="仿宋" w:hAnsi="仿宋" w:eastAsia="仿宋"/>
          <w:sz w:val="32"/>
          <w:szCs w:val="32"/>
        </w:rPr>
      </w:pPr>
      <w:r>
        <w:rPr>
          <w:rFonts w:hint="eastAsia" w:ascii="仿宋" w:hAnsi="仿宋" w:eastAsia="仿宋"/>
          <w:sz w:val="32"/>
          <w:szCs w:val="32"/>
        </w:rPr>
        <w:t>赣州蓉江新区2022年退役军人事务及退役军人待遇专项经费项目为综合性项目，2022年度实际执行本级预算资金纳入本次绩效评价的二级子项目内容为：发放退伍士兵一次性退役金、支付退役士兵适应性培训费用、发放转业待安置期间生活补助、发放涉军人员公益性岗位工资、发放义务兵家庭优待金、发放走访慰问金、由政府安置工作退役士兵待安置期间社保和医保接续、镇和村退役军人服务站点建设资金。项目2022年度预算金额818.08万元，</w:t>
      </w:r>
      <w:r>
        <w:rPr>
          <w:rFonts w:hint="eastAsia" w:ascii="仿宋" w:hAnsi="仿宋" w:eastAsia="仿宋" w:cs="Times New Roman"/>
          <w:sz w:val="32"/>
          <w:szCs w:val="32"/>
        </w:rPr>
        <w:t>实际支出</w:t>
      </w:r>
      <w:r>
        <w:rPr>
          <w:rFonts w:hint="eastAsia" w:ascii="仿宋" w:hAnsi="仿宋" w:eastAsia="仿宋"/>
          <w:sz w:val="32"/>
          <w:szCs w:val="32"/>
        </w:rPr>
        <w:t>342.57</w:t>
      </w:r>
      <w:r>
        <w:rPr>
          <w:rFonts w:hint="eastAsia" w:ascii="仿宋" w:hAnsi="仿宋" w:eastAsia="仿宋" w:cs="Times New Roman"/>
          <w:sz w:val="32"/>
          <w:szCs w:val="32"/>
        </w:rPr>
        <w:t>万元，预算执行率41.87%。</w:t>
      </w:r>
    </w:p>
    <w:p>
      <w:pPr>
        <w:ind w:firstLine="640" w:firstLineChars="200"/>
        <w:rPr>
          <w:rFonts w:ascii="仿宋" w:hAnsi="仿宋" w:eastAsia="仿宋"/>
          <w:sz w:val="32"/>
          <w:szCs w:val="32"/>
        </w:rPr>
      </w:pPr>
      <w:r>
        <w:rPr>
          <w:rFonts w:hint="eastAsia" w:ascii="仿宋" w:hAnsi="仿宋" w:eastAsia="仿宋"/>
          <w:sz w:val="32"/>
          <w:szCs w:val="32"/>
        </w:rPr>
        <w:t>通过项目实施，赣州蓉江新区退役军人服务中心较好地完成了本年度军人各项保障工作。充分发挥了退役军人服务中心作用，完善了现役军人、退役军人协调沟通的平台，认真落实了军人军属优待优先有关政策，保障了各类优抚资金按时发放到位，为全区退役军人服务工作高质量推进、健康长远发展奠定了基础。</w:t>
      </w:r>
    </w:p>
    <w:p>
      <w:pPr>
        <w:rPr>
          <w:rFonts w:ascii="仿宋" w:hAnsi="仿宋" w:eastAsia="仿宋" w:cs="仿宋"/>
          <w:b/>
          <w:bCs/>
          <w:sz w:val="32"/>
          <w:szCs w:val="32"/>
        </w:rPr>
      </w:pPr>
      <w:r>
        <w:rPr>
          <w:rFonts w:hint="eastAsia" w:ascii="仿宋" w:hAnsi="仿宋" w:eastAsia="仿宋" w:cs="仿宋"/>
          <w:b/>
          <w:bCs/>
          <w:sz w:val="32"/>
          <w:szCs w:val="32"/>
        </w:rPr>
        <w:t>二、评价结果</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本次评价在资料查阅、现场调研及访谈基础上，对赣州蓉江新区2022年退役军人事务及退役军人待遇专项经费项目绩效进行逐项打分、客观评价，等级设为四档：90（含）-100分为优、80（含）-90分为良、60（含）-80分为中等、60分以下为差。最终评分结果：总得分为 90分，绩效评级为“优”。</w:t>
      </w:r>
    </w:p>
    <w:p>
      <w:pPr>
        <w:spacing w:line="560" w:lineRule="exact"/>
        <w:ind w:firstLine="420"/>
        <w:jc w:val="center"/>
        <w:rPr>
          <w:rFonts w:ascii="仿宋" w:hAnsi="仿宋" w:eastAsia="仿宋" w:cs="仿宋"/>
          <w:b/>
          <w:bCs/>
          <w:sz w:val="32"/>
          <w:szCs w:val="32"/>
        </w:rPr>
      </w:pPr>
    </w:p>
    <w:p>
      <w:pPr>
        <w:spacing w:line="560" w:lineRule="exact"/>
        <w:ind w:firstLine="420"/>
        <w:jc w:val="center"/>
        <w:rPr>
          <w:rFonts w:ascii="仿宋" w:hAnsi="仿宋" w:eastAsia="仿宋" w:cs="仿宋"/>
          <w:b/>
          <w:bCs/>
          <w:sz w:val="32"/>
          <w:szCs w:val="32"/>
        </w:rPr>
      </w:pPr>
    </w:p>
    <w:p>
      <w:pPr>
        <w:spacing w:line="56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1"/>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1536"/>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07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指标</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A.决策性指标</w:t>
            </w:r>
          </w:p>
        </w:tc>
        <w:tc>
          <w:tcPr>
            <w:tcW w:w="17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B.管理性指标</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C.产出性指标</w:t>
            </w:r>
          </w:p>
        </w:tc>
        <w:tc>
          <w:tcPr>
            <w:tcW w:w="1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D.效果性指标</w:t>
            </w:r>
          </w:p>
        </w:tc>
        <w:tc>
          <w:tcPr>
            <w:tcW w:w="12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权重</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15</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25</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分值</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13</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25</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得分率</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86.67%</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89.29%</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90%</w:t>
            </w:r>
          </w:p>
        </w:tc>
      </w:tr>
    </w:tbl>
    <w:p>
      <w:pPr>
        <w:spacing w:line="560" w:lineRule="exact"/>
        <w:ind w:firstLine="640" w:firstLineChars="200"/>
        <w:rPr>
          <w:rFonts w:ascii="仿宋" w:hAnsi="仿宋" w:eastAsia="仿宋"/>
          <w:sz w:val="32"/>
          <w:szCs w:val="32"/>
        </w:rPr>
      </w:pPr>
    </w:p>
    <w:p>
      <w:pPr>
        <w:rPr>
          <w:rFonts w:ascii="仿宋" w:hAnsi="仿宋" w:eastAsia="仿宋" w:cs="仿宋"/>
          <w:b/>
          <w:bCs/>
          <w:sz w:val="32"/>
          <w:szCs w:val="32"/>
        </w:rPr>
      </w:pPr>
      <w:r>
        <w:rPr>
          <w:rFonts w:hint="eastAsia" w:ascii="仿宋" w:hAnsi="仿宋" w:eastAsia="仿宋" w:cs="仿宋"/>
          <w:b/>
          <w:bCs/>
          <w:sz w:val="32"/>
          <w:szCs w:val="32"/>
        </w:rPr>
        <w:t>三、存在的问题和建议</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（一）存在的问题</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1、预算绩效管理工作方面存在不足。绩效目标管理工作有待改善，存在绩效指标设立明确性、科学合理性不足的情形；绩效评价管理工作有待改善，存在绩效自评不规范的情形。</w:t>
      </w:r>
    </w:p>
    <w:p>
      <w:pPr>
        <w:spacing w:line="560" w:lineRule="exact"/>
        <w:ind w:firstLine="640" w:firstLineChars="200"/>
        <w:rPr>
          <w:rFonts w:ascii="仿宋" w:hAnsi="仿宋" w:eastAsia="仿宋" w:cs="仿宋"/>
          <w:sz w:val="32"/>
          <w:szCs w:val="32"/>
          <w:highlight w:val="yellow"/>
        </w:rPr>
      </w:pPr>
      <w:r>
        <w:rPr>
          <w:rFonts w:hint="eastAsia" w:ascii="仿宋" w:hAnsi="仿宋" w:eastAsia="仿宋" w:cs="仿宋"/>
          <w:sz w:val="32"/>
          <w:szCs w:val="32"/>
        </w:rPr>
        <w:t>2、项目决策、管理方面存在不足。项目预算编制不够准确，导致预算执行率较低，资金冗余；存在资金使用与批复预算不一致的情形；存在对项目资金发放使用情况监管不够的情形。</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（二）改进措施和建议</w:t>
      </w:r>
    </w:p>
    <w:p>
      <w:pPr>
        <w:spacing w:line="560" w:lineRule="exact"/>
        <w:ind w:firstLine="570"/>
        <w:jc w:val="left"/>
        <w:rPr>
          <w:rFonts w:ascii="仿宋" w:hAnsi="仿宋" w:eastAsia="仿宋" w:cs="仿宋"/>
          <w:sz w:val="32"/>
          <w:szCs w:val="32"/>
        </w:rPr>
      </w:pPr>
      <w:r>
        <w:rPr>
          <w:rFonts w:hint="eastAsia" w:ascii="仿宋" w:hAnsi="仿宋" w:eastAsia="仿宋" w:cs="仿宋"/>
          <w:sz w:val="32"/>
          <w:szCs w:val="32"/>
        </w:rPr>
        <w:t>1、加强预算绩效管理工作、提高绩效管理水平。严格按照《预算法》等相关文件要求，进一步强化预算绩效管理工作，切实履行预算绩效管理职责。全方位、全过程、全覆盖实施预算绩效管理的过程中， 进一步强化绩效管理意识。</w:t>
      </w:r>
    </w:p>
    <w:p>
      <w:pPr>
        <w:spacing w:line="560" w:lineRule="exact"/>
        <w:ind w:firstLine="570"/>
        <w:jc w:val="left"/>
        <w:rPr>
          <w:rFonts w:ascii="仿宋" w:hAnsi="仿宋" w:eastAsia="仿宋" w:cs="仿宋"/>
          <w:b/>
          <w:bCs/>
          <w:sz w:val="44"/>
          <w:szCs w:val="44"/>
        </w:rPr>
      </w:pPr>
      <w:r>
        <w:rPr>
          <w:rFonts w:hint="eastAsia" w:ascii="仿宋" w:hAnsi="仿宋" w:eastAsia="仿宋" w:cs="仿宋"/>
          <w:sz w:val="32"/>
          <w:szCs w:val="32"/>
        </w:rPr>
        <w:t>2、提高预算编制水平、加强项目各环节管控。按照项目实施周期，准确编制预算，确保当年预算安排与项目年度实施计划相匹配，确保当年预算当年使用，减少财政资金结转和沉淀；充分做好前期调研工作，如通过实地考察、问卷调查等形式，编制详细的项目申报书，明确进度计划。按照预算、用款计划、项目进度、有关合同和规定程序及时办理资金请款申请，推进预算绩效管理工作，强化支出责任和效率意识。</w:t>
      </w:r>
    </w:p>
    <w:p>
      <w:pPr>
        <w:spacing w:line="420" w:lineRule="exact"/>
        <w:rPr>
          <w:rFonts w:ascii="仿宋" w:hAnsi="仿宋" w:eastAsia="仿宋" w:cs="仿宋"/>
          <w:b/>
          <w:bCs/>
          <w:sz w:val="44"/>
          <w:szCs w:val="44"/>
        </w:rPr>
      </w:pPr>
    </w:p>
    <w:p>
      <w:pPr>
        <w:rPr>
          <w:rFonts w:ascii="仿宋" w:hAnsi="仿宋" w:eastAsia="仿宋" w:cs="仿宋"/>
          <w:b/>
          <w:bCs/>
          <w:sz w:val="44"/>
          <w:szCs w:val="44"/>
        </w:rPr>
      </w:pPr>
      <w:r>
        <w:rPr>
          <w:rFonts w:hint="eastAsia" w:ascii="仿宋" w:hAnsi="仿宋" w:eastAsia="仿宋" w:cs="仿宋"/>
          <w:b/>
          <w:bCs/>
          <w:sz w:val="44"/>
          <w:szCs w:val="44"/>
        </w:rPr>
        <w:br w:type="page"/>
      </w:r>
    </w:p>
    <w:p>
      <w:pPr>
        <w:spacing w:line="420" w:lineRule="exact"/>
        <w:jc w:val="center"/>
        <w:rPr>
          <w:rFonts w:ascii="仿宋" w:hAnsi="仿宋" w:eastAsia="仿宋" w:cs="仿宋"/>
          <w:b/>
          <w:bCs/>
          <w:sz w:val="44"/>
          <w:szCs w:val="44"/>
        </w:rPr>
      </w:pPr>
      <w:r>
        <w:rPr>
          <w:rFonts w:hint="eastAsia" w:ascii="仿宋" w:hAnsi="仿宋" w:eastAsia="仿宋" w:cs="仿宋"/>
          <w:b/>
          <w:bCs/>
          <w:sz w:val="44"/>
          <w:szCs w:val="44"/>
        </w:rPr>
        <w:t>目 录</w:t>
      </w:r>
    </w:p>
    <w:p/>
    <w:sdt>
      <w:sdtPr>
        <w:rPr>
          <w:rFonts w:ascii="宋体" w:hAnsi="宋体" w:eastAsia="宋体"/>
        </w:rPr>
        <w:id w:val="147464753"/>
        <w:docPartObj>
          <w:docPartGallery w:val="Table of Contents"/>
          <w:docPartUnique/>
        </w:docPartObj>
      </w:sdtPr>
      <w:sdtEndPr>
        <w:rPr>
          <w:rFonts w:ascii="仿宋" w:hAnsi="仿宋" w:eastAsia="仿宋"/>
          <w:b/>
          <w:szCs w:val="28"/>
        </w:rPr>
      </w:sdtEndPr>
      <w:sdtContent>
        <w:p>
          <w:r>
            <w:rPr>
              <w:rFonts w:ascii="仿宋" w:hAnsi="仿宋" w:eastAsia="仿宋"/>
              <w:sz w:val="28"/>
              <w:szCs w:val="28"/>
            </w:rPr>
            <w:fldChar w:fldCharType="begin"/>
          </w:r>
          <w:r>
            <w:rPr>
              <w:rFonts w:ascii="仿宋" w:hAnsi="仿宋" w:eastAsia="仿宋"/>
              <w:sz w:val="28"/>
              <w:szCs w:val="28"/>
            </w:rPr>
            <w:instrText xml:space="preserve">TOC \o "1-2" \h \u </w:instrText>
          </w:r>
          <w:r>
            <w:rPr>
              <w:rFonts w:ascii="仿宋" w:hAnsi="仿宋" w:eastAsia="仿宋"/>
              <w:sz w:val="28"/>
              <w:szCs w:val="28"/>
            </w:rPr>
            <w:fldChar w:fldCharType="separate"/>
          </w:r>
          <w:r>
            <w:fldChar w:fldCharType="begin"/>
          </w:r>
          <w:r>
            <w:instrText xml:space="preserve"> HYPERLINK \l "_Toc6557" </w:instrText>
          </w:r>
          <w:r>
            <w:fldChar w:fldCharType="separate"/>
          </w:r>
          <w:r>
            <w:rPr>
              <w:rFonts w:hint="eastAsia" w:ascii="仿宋" w:hAnsi="仿宋" w:eastAsia="仿宋" w:cs="仿宋"/>
              <w:sz w:val="28"/>
              <w:szCs w:val="28"/>
            </w:rPr>
            <w:t>1、项目概述</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_Toc6557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"_Toc20761" </w:instrText>
          </w:r>
          <w:r>
            <w:fldChar w:fldCharType="separate"/>
          </w:r>
          <w:r>
            <w:rPr>
              <w:rFonts w:hint="eastAsia" w:ascii="仿宋" w:hAnsi="仿宋" w:eastAsia="仿宋" w:cs="仿宋"/>
              <w:sz w:val="28"/>
              <w:szCs w:val="28"/>
            </w:rPr>
            <w:t>1.1项目基本情况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_Toc20761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"_Toc27202" </w:instrText>
          </w:r>
          <w:r>
            <w:fldChar w:fldCharType="separate"/>
          </w:r>
          <w:r>
            <w:rPr>
              <w:rFonts w:hint="eastAsia" w:ascii="仿宋" w:hAnsi="仿宋" w:eastAsia="仿宋" w:cs="仿宋"/>
              <w:sz w:val="28"/>
              <w:szCs w:val="28"/>
            </w:rPr>
            <w:t>1.2项目实施情况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_Toc27202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8"/>
            <w:tabs>
              <w:tab w:val="right" w:leader="dot" w:pos="8958"/>
            </w:tabs>
            <w:rPr>
              <w:rFonts w:ascii="仿宋" w:hAnsi="仿宋" w:eastAsia="仿宋" w:cs="仿宋"/>
              <w:sz w:val="28"/>
              <w:szCs w:val="28"/>
            </w:rPr>
          </w:pPr>
          <w:r>
            <w:fldChar w:fldCharType="begin"/>
          </w:r>
          <w:r>
            <w:instrText xml:space="preserve"> HYPERLINK \l "_Toc10461" </w:instrText>
          </w:r>
          <w:r>
            <w:fldChar w:fldCharType="separate"/>
          </w:r>
          <w:r>
            <w:rPr>
              <w:rFonts w:hint="eastAsia" w:ascii="仿宋" w:hAnsi="仿宋" w:eastAsia="仿宋" w:cs="仿宋"/>
              <w:sz w:val="28"/>
              <w:szCs w:val="28"/>
            </w:rPr>
            <w:t>2、绩效评价工作情况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_Toc10461 \h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"_Toc13302" </w:instrText>
          </w:r>
          <w:r>
            <w:fldChar w:fldCharType="separate"/>
          </w:r>
          <w:r>
            <w:rPr>
              <w:rFonts w:hint="eastAsia" w:ascii="仿宋" w:hAnsi="仿宋" w:eastAsia="仿宋" w:cs="仿宋"/>
              <w:sz w:val="28"/>
              <w:szCs w:val="28"/>
            </w:rPr>
            <w:t>2.1绩效评价目的</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_Toc13302 \h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"_Toc20061" </w:instrText>
          </w:r>
          <w:r>
            <w:fldChar w:fldCharType="separate"/>
          </w:r>
          <w:r>
            <w:rPr>
              <w:rFonts w:hint="eastAsia" w:ascii="仿宋" w:hAnsi="仿宋" w:eastAsia="仿宋" w:cs="仿宋"/>
              <w:sz w:val="28"/>
              <w:szCs w:val="28"/>
            </w:rPr>
            <w:t>2.2绩效评价工作方案制定过程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_Toc20061 \h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"_Toc23229" </w:instrText>
          </w:r>
          <w:r>
            <w:fldChar w:fldCharType="separate"/>
          </w:r>
          <w:r>
            <w:rPr>
              <w:rFonts w:hint="eastAsia" w:ascii="仿宋" w:hAnsi="仿宋" w:eastAsia="仿宋" w:cs="仿宋"/>
              <w:sz w:val="28"/>
              <w:szCs w:val="28"/>
            </w:rPr>
            <w:t>2.3绩效评价原则、评价方法、评价依据等</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_Toc23229 \h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8"/>
            <w:tabs>
              <w:tab w:val="right" w:leader="dot" w:pos="8958"/>
            </w:tabs>
            <w:rPr>
              <w:rFonts w:ascii="仿宋" w:hAnsi="仿宋" w:eastAsia="仿宋" w:cs="仿宋"/>
              <w:sz w:val="28"/>
              <w:szCs w:val="28"/>
            </w:rPr>
          </w:pPr>
          <w:r>
            <w:fldChar w:fldCharType="begin"/>
          </w:r>
          <w:r>
            <w:instrText xml:space="preserve"> HYPERLINK \l "_Toc14034" </w:instrText>
          </w:r>
          <w:r>
            <w:fldChar w:fldCharType="separate"/>
          </w:r>
          <w:r>
            <w:rPr>
              <w:rFonts w:hint="eastAsia" w:ascii="仿宋" w:hAnsi="仿宋" w:eastAsia="仿宋" w:cs="仿宋"/>
              <w:sz w:val="28"/>
              <w:szCs w:val="28"/>
            </w:rPr>
            <w:t>3、具体绩效分析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_Toc14034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"_Toc9000" </w:instrText>
          </w:r>
          <w:r>
            <w:fldChar w:fldCharType="separate"/>
          </w:r>
          <w:r>
            <w:rPr>
              <w:rFonts w:hint="eastAsia" w:ascii="仿宋" w:hAnsi="仿宋" w:eastAsia="仿宋" w:cs="仿宋"/>
              <w:sz w:val="28"/>
              <w:szCs w:val="28"/>
            </w:rPr>
            <w:t>3.1项目决策性指标类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_Toc9000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"_Toc4053" </w:instrText>
          </w:r>
          <w:r>
            <w:fldChar w:fldCharType="separate"/>
          </w:r>
          <w:r>
            <w:rPr>
              <w:rFonts w:hint="eastAsia" w:ascii="仿宋" w:hAnsi="仿宋" w:eastAsia="仿宋" w:cs="仿宋"/>
              <w:sz w:val="28"/>
              <w:szCs w:val="28"/>
            </w:rPr>
            <w:t>3.2项目管理性指标类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_Toc4053 \h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"_Toc23155" </w:instrText>
          </w:r>
          <w:r>
            <w:fldChar w:fldCharType="separate"/>
          </w:r>
          <w:r>
            <w:rPr>
              <w:rFonts w:hint="eastAsia" w:ascii="仿宋" w:hAnsi="仿宋" w:eastAsia="仿宋" w:cs="仿宋"/>
              <w:sz w:val="28"/>
              <w:szCs w:val="28"/>
            </w:rPr>
            <w:t>3.3项目产出性指标类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_Toc23155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"_Toc6036" </w:instrText>
          </w:r>
          <w:r>
            <w:fldChar w:fldCharType="separate"/>
          </w:r>
          <w:r>
            <w:rPr>
              <w:rFonts w:hint="eastAsia" w:ascii="仿宋" w:hAnsi="仿宋" w:eastAsia="仿宋" w:cs="仿宋"/>
              <w:sz w:val="28"/>
              <w:szCs w:val="28"/>
            </w:rPr>
            <w:t>3.4项目效果性指标类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_Toc6036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8"/>
            <w:tabs>
              <w:tab w:val="right" w:leader="dot" w:pos="8958"/>
            </w:tabs>
            <w:rPr>
              <w:rFonts w:ascii="仿宋" w:hAnsi="仿宋" w:eastAsia="仿宋" w:cs="仿宋"/>
              <w:sz w:val="28"/>
              <w:szCs w:val="28"/>
            </w:rPr>
          </w:pPr>
          <w:r>
            <w:fldChar w:fldCharType="begin"/>
          </w:r>
          <w:r>
            <w:instrText xml:space="preserve"> HYPERLINK \l "_Toc23664" </w:instrText>
          </w:r>
          <w:r>
            <w:fldChar w:fldCharType="separate"/>
          </w:r>
          <w:r>
            <w:rPr>
              <w:rFonts w:hint="eastAsia" w:ascii="仿宋" w:hAnsi="仿宋" w:eastAsia="仿宋" w:cs="仿宋"/>
              <w:sz w:val="28"/>
              <w:szCs w:val="28"/>
            </w:rPr>
            <w:t>4、 绩效评价结果</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_Toc23664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8"/>
            <w:tabs>
              <w:tab w:val="right" w:leader="dot" w:pos="8958"/>
            </w:tabs>
            <w:rPr>
              <w:rFonts w:ascii="仿宋" w:hAnsi="仿宋" w:eastAsia="仿宋" w:cs="仿宋"/>
              <w:sz w:val="28"/>
              <w:szCs w:val="28"/>
            </w:rPr>
          </w:pPr>
          <w:r>
            <w:fldChar w:fldCharType="begin"/>
          </w:r>
          <w:r>
            <w:instrText xml:space="preserve"> HYPERLINK \l "_Toc24463" </w:instrText>
          </w:r>
          <w:r>
            <w:fldChar w:fldCharType="separate"/>
          </w:r>
          <w:r>
            <w:rPr>
              <w:rFonts w:hint="eastAsia" w:ascii="仿宋" w:hAnsi="仿宋" w:eastAsia="仿宋" w:cs="仿宋"/>
              <w:sz w:val="28"/>
              <w:szCs w:val="28"/>
            </w:rPr>
            <w:t>5、存在的问题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_Toc24463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"_Toc19912" </w:instrText>
          </w:r>
          <w:r>
            <w:fldChar w:fldCharType="separate"/>
          </w:r>
          <w:r>
            <w:rPr>
              <w:rFonts w:hint="eastAsia" w:ascii="仿宋" w:hAnsi="仿宋" w:eastAsia="仿宋" w:cs="仿宋"/>
              <w:sz w:val="28"/>
              <w:szCs w:val="28"/>
            </w:rPr>
            <w:t>5.1预算绩效管理工作方面存在不足</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_Toc19912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"_Toc5709" </w:instrText>
          </w:r>
          <w:r>
            <w:fldChar w:fldCharType="separate"/>
          </w:r>
          <w:r>
            <w:rPr>
              <w:rFonts w:hint="eastAsia" w:ascii="仿宋" w:hAnsi="仿宋" w:eastAsia="仿宋" w:cs="仿宋"/>
              <w:sz w:val="28"/>
              <w:szCs w:val="28"/>
            </w:rPr>
            <w:t>5.2项目决策、管理方面存在不足</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_Toc5709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8"/>
            <w:tabs>
              <w:tab w:val="right" w:leader="dot" w:pos="8958"/>
            </w:tabs>
            <w:rPr>
              <w:rFonts w:ascii="仿宋" w:hAnsi="仿宋" w:eastAsia="仿宋" w:cs="仿宋"/>
              <w:sz w:val="28"/>
              <w:szCs w:val="28"/>
            </w:rPr>
          </w:pPr>
          <w:r>
            <w:fldChar w:fldCharType="begin"/>
          </w:r>
          <w:r>
            <w:instrText xml:space="preserve"> HYPERLINK \l "_Toc21857" </w:instrText>
          </w:r>
          <w:r>
            <w:fldChar w:fldCharType="separate"/>
          </w:r>
          <w:r>
            <w:rPr>
              <w:rFonts w:hint="eastAsia" w:ascii="仿宋" w:hAnsi="仿宋" w:eastAsia="仿宋" w:cs="仿宋"/>
              <w:sz w:val="28"/>
              <w:szCs w:val="28"/>
            </w:rPr>
            <w:t>6、改进措施和建议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_Toc21857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"_Toc6059" </w:instrText>
          </w:r>
          <w:r>
            <w:fldChar w:fldCharType="separate"/>
          </w:r>
          <w:r>
            <w:rPr>
              <w:rFonts w:hint="eastAsia" w:ascii="仿宋" w:hAnsi="仿宋" w:eastAsia="仿宋" w:cs="仿宋"/>
              <w:sz w:val="28"/>
              <w:szCs w:val="28"/>
            </w:rPr>
            <w:t>6.1加强预算绩效管理工作、提高绩效管理水平</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_Toc6059 \h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9"/>
            <w:tabs>
              <w:tab w:val="right" w:leader="dot" w:pos="8958"/>
            </w:tabs>
            <w:rPr>
              <w:rFonts w:ascii="仿宋" w:hAnsi="仿宋" w:eastAsia="仿宋" w:cs="仿宋"/>
              <w:sz w:val="28"/>
              <w:szCs w:val="28"/>
            </w:rPr>
          </w:pPr>
          <w:r>
            <w:fldChar w:fldCharType="begin"/>
          </w:r>
          <w:r>
            <w:instrText xml:space="preserve"> HYPERLINK \l "_Toc13807" </w:instrText>
          </w:r>
          <w:r>
            <w:fldChar w:fldCharType="separate"/>
          </w:r>
          <w:r>
            <w:rPr>
              <w:rFonts w:hint="eastAsia" w:ascii="仿宋" w:hAnsi="仿宋" w:eastAsia="仿宋" w:cs="仿宋"/>
              <w:sz w:val="28"/>
              <w:szCs w:val="28"/>
            </w:rPr>
            <w:t>6.2提高预算编制水平、加强项目各环节管控</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_Toc13807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8"/>
            <w:tabs>
              <w:tab w:val="right" w:leader="dot" w:pos="8958"/>
            </w:tabs>
            <w:rPr>
              <w:rFonts w:hint="eastAsia" w:ascii="仿宋" w:hAnsi="仿宋" w:eastAsia="仿宋" w:cs="仿宋"/>
              <w:sz w:val="28"/>
              <w:szCs w:val="28"/>
            </w:rPr>
          </w:pPr>
          <w:r>
            <w:fldChar w:fldCharType="begin"/>
          </w:r>
          <w:r>
            <w:instrText xml:space="preserve"> HYPERLINK \l "_Toc16561" </w:instrText>
          </w:r>
          <w:r>
            <w:fldChar w:fldCharType="separate"/>
          </w:r>
          <w:r>
            <w:rPr>
              <w:rFonts w:hint="eastAsia" w:ascii="仿宋" w:hAnsi="仿宋" w:eastAsia="仿宋" w:cs="仿宋"/>
              <w:sz w:val="28"/>
              <w:szCs w:val="28"/>
            </w:rPr>
            <w:t>7、其他事项说明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_Toc16561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r>
            <w:rPr>
              <w:rFonts w:hint="eastAsia" w:ascii="仿宋" w:hAnsi="仿宋" w:eastAsia="仿宋" w:cs="仿宋"/>
              <w:sz w:val="28"/>
              <w:szCs w:val="28"/>
            </w:rPr>
            <w:t xml:space="preserve">8、附件 </w:t>
          </w:r>
          <w:r>
            <w:rPr>
              <w:rFonts w:hint="eastAsia"/>
            </w:rPr>
            <w:t xml:space="preserve"> </w:t>
          </w:r>
        </w:p>
        <w:p>
          <w:pPr>
            <w:rPr>
              <w:rFonts w:ascii="仿宋" w:hAnsi="仿宋" w:eastAsia="仿宋"/>
              <w:sz w:val="28"/>
              <w:szCs w:val="28"/>
            </w:rPr>
          </w:pPr>
          <w:r>
            <w:rPr>
              <w:rFonts w:ascii="仿宋" w:hAnsi="仿宋" w:eastAsia="仿宋"/>
              <w:szCs w:val="28"/>
            </w:rPr>
            <w:fldChar w:fldCharType="end"/>
          </w:r>
        </w:p>
      </w:sdtContent>
    </w:sdt>
    <w:p>
      <w:pPr>
        <w:rPr>
          <w:rFonts w:ascii="宋体" w:hAnsi="宋体" w:eastAsia="宋体" w:cs="宋体"/>
          <w:b/>
          <w:bCs/>
          <w:sz w:val="44"/>
          <w:szCs w:val="44"/>
        </w:rPr>
        <w:sectPr>
          <w:headerReference r:id="rId4" w:type="first"/>
          <w:headerReference r:id="rId3" w:type="default"/>
          <w:pgSz w:w="11906" w:h="16838"/>
          <w:pgMar w:top="1440" w:right="1474" w:bottom="1440" w:left="1474" w:header="851" w:footer="992" w:gutter="0"/>
          <w:cols w:space="0" w:num="1"/>
          <w:titlePg/>
          <w:docGrid w:type="lines" w:linePitch="312" w:charSpace="0"/>
        </w:sectPr>
      </w:pPr>
    </w:p>
    <w:p>
      <w:pPr>
        <w:jc w:val="center"/>
        <w:rPr>
          <w:rFonts w:ascii="宋体" w:hAnsi="宋体" w:eastAsia="宋体" w:cs="宋体"/>
          <w:b/>
          <w:bCs/>
          <w:sz w:val="44"/>
          <w:szCs w:val="44"/>
        </w:rPr>
      </w:pPr>
      <w:r>
        <w:rPr>
          <w:rFonts w:hint="eastAsia" w:ascii="宋体" w:hAnsi="宋体" w:eastAsia="宋体" w:cs="宋体"/>
          <w:b/>
          <w:bCs/>
          <w:sz w:val="44"/>
          <w:szCs w:val="44"/>
        </w:rPr>
        <w:t>赣州蓉江新区2022年退役军人事务及退役军人待遇专项经费项目支出绩效评价报告</w:t>
      </w:r>
    </w:p>
    <w:p>
      <w:pPr>
        <w:spacing w:line="600" w:lineRule="auto"/>
        <w:jc w:val="center"/>
        <w:rPr>
          <w:rFonts w:cs="仿宋" w:asciiTheme="majorEastAsia" w:hAnsiTheme="majorEastAsia" w:eastAsiaTheme="majorEastAsia"/>
          <w:sz w:val="28"/>
          <w:szCs w:val="28"/>
        </w:rPr>
      </w:pPr>
      <w:r>
        <w:rPr>
          <w:rFonts w:hint="eastAsia" w:cs="仿宋" w:asciiTheme="majorEastAsia" w:hAnsiTheme="majorEastAsia" w:eastAsiaTheme="majorEastAsia"/>
          <w:sz w:val="28"/>
          <w:szCs w:val="28"/>
        </w:rPr>
        <w:t>国众联咨报字﹝2024﹞第5-0033号</w:t>
      </w:r>
    </w:p>
    <w:p/>
    <w:p>
      <w:pPr>
        <w:rPr>
          <w:rFonts w:ascii="仿宋" w:hAnsi="仿宋" w:eastAsia="仿宋"/>
          <w:sz w:val="32"/>
          <w:szCs w:val="32"/>
        </w:rPr>
      </w:pPr>
      <w:r>
        <w:rPr>
          <w:rFonts w:hint="eastAsia" w:ascii="仿宋" w:hAnsi="仿宋" w:eastAsia="仿宋"/>
          <w:b/>
          <w:bCs/>
          <w:sz w:val="32"/>
          <w:szCs w:val="32"/>
        </w:rPr>
        <w:t>赣州蓉江新区财政局</w:t>
      </w:r>
      <w:r>
        <w:rPr>
          <w:rFonts w:hint="eastAsia" w:ascii="仿宋" w:hAnsi="仿宋" w:eastAsia="仿宋"/>
          <w:sz w:val="32"/>
          <w:szCs w:val="32"/>
        </w:rPr>
        <w:t>：</w:t>
      </w:r>
    </w:p>
    <w:p>
      <w:pPr>
        <w:pStyle w:val="2"/>
        <w:ind w:firstLine="640" w:firstLineChars="200"/>
      </w:pPr>
      <w:r>
        <w:rPr>
          <w:rFonts w:hint="eastAsia" w:ascii="仿宋" w:hAnsi="仿宋" w:eastAsia="仿宋"/>
          <w:sz w:val="32"/>
          <w:szCs w:val="32"/>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国众联资产评估土地房地产估价有限公司以第三方社会机构的身份，承担了赣州蓉江新区2022年退役军人事务及退役军人待遇专项经费项目（以下简称“项目”或“该项目”）的绩效评价工作。本次绩效评价工作严格依照相关法律法规的规定，遵循“独立、客观、公正、科学”的原则进行。</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国众联资产评估土地房地产估价有限公司接受委托任务后于2023年12月开始，抽调精干人员力量组成绩效评价组，精心制定绩效评价方案，通过访谈、查阅文件文献、问卷调查、现场调研等方式，充分了解和掌握了评价对象的相关情况后，按照绩效评价指标体系，对项目取得的成效与经验、项目存在的问题进行归纳总结，并提出相关建议，得出评价结果。</w:t>
      </w:r>
    </w:p>
    <w:p>
      <w:pPr>
        <w:ind w:firstLine="640" w:firstLineChars="200"/>
        <w:jc w:val="left"/>
        <w:rPr>
          <w:rFonts w:ascii="仿宋" w:hAnsi="仿宋" w:eastAsia="仿宋"/>
          <w:sz w:val="32"/>
          <w:szCs w:val="32"/>
        </w:rPr>
      </w:pPr>
      <w:r>
        <w:rPr>
          <w:rFonts w:hint="eastAsia" w:ascii="仿宋" w:hAnsi="仿宋" w:eastAsia="仿宋"/>
          <w:sz w:val="32"/>
          <w:szCs w:val="32"/>
        </w:rPr>
        <w:t>绩效评价组以绩效评价指标体系要求为基础进行资料收集，收集了项目实施过程中的各项资料，对项目实施单位相关负责人进行访谈、开展项目的满意度调查工作等，在此基础上形成《赣州蓉江新区2022年退役军人事务及退役军人待遇专项经费项目支出绩效评价报告》。</w:t>
      </w:r>
    </w:p>
    <w:p>
      <w:pPr>
        <w:ind w:firstLine="321" w:firstLineChars="100"/>
        <w:outlineLvl w:val="0"/>
        <w:rPr>
          <w:rFonts w:ascii="仿宋" w:hAnsi="仿宋" w:eastAsia="仿宋"/>
          <w:b/>
          <w:sz w:val="32"/>
          <w:szCs w:val="32"/>
        </w:rPr>
      </w:pPr>
      <w:bookmarkStart w:id="0" w:name="_Toc16874"/>
      <w:bookmarkStart w:id="1" w:name="_Toc6557"/>
      <w:r>
        <w:rPr>
          <w:rFonts w:hint="eastAsia" w:ascii="仿宋" w:hAnsi="仿宋" w:eastAsia="仿宋"/>
          <w:b/>
          <w:sz w:val="32"/>
          <w:szCs w:val="32"/>
        </w:rPr>
        <w:t>1、项目概述</w:t>
      </w:r>
      <w:bookmarkEnd w:id="0"/>
      <w:bookmarkEnd w:id="1"/>
    </w:p>
    <w:p>
      <w:pPr>
        <w:ind w:firstLine="482" w:firstLineChars="150"/>
        <w:outlineLvl w:val="1"/>
        <w:rPr>
          <w:rFonts w:ascii="仿宋" w:hAnsi="仿宋" w:eastAsia="仿宋"/>
          <w:b/>
          <w:sz w:val="32"/>
          <w:szCs w:val="32"/>
        </w:rPr>
      </w:pPr>
      <w:bookmarkStart w:id="2" w:name="_Toc24357"/>
      <w:bookmarkStart w:id="3" w:name="_Toc20761"/>
      <w:r>
        <w:rPr>
          <w:rFonts w:hint="eastAsia" w:ascii="仿宋" w:hAnsi="仿宋" w:eastAsia="仿宋"/>
          <w:b/>
          <w:sz w:val="32"/>
          <w:szCs w:val="32"/>
        </w:rPr>
        <w:t>1.1项目基本情况</w:t>
      </w:r>
      <w:bookmarkEnd w:id="2"/>
      <w:bookmarkEnd w:id="3"/>
    </w:p>
    <w:p>
      <w:pPr>
        <w:ind w:firstLine="482" w:firstLineChars="150"/>
        <w:outlineLvl w:val="2"/>
        <w:rPr>
          <w:rFonts w:ascii="仿宋" w:hAnsi="仿宋" w:eastAsia="仿宋"/>
          <w:b/>
          <w:sz w:val="32"/>
          <w:szCs w:val="32"/>
        </w:rPr>
      </w:pPr>
      <w:bookmarkStart w:id="4" w:name="_Toc6830"/>
      <w:r>
        <w:rPr>
          <w:rFonts w:hint="eastAsia" w:ascii="仿宋" w:hAnsi="仿宋" w:eastAsia="仿宋"/>
          <w:b/>
          <w:sz w:val="32"/>
          <w:szCs w:val="32"/>
        </w:rPr>
        <w:t>1.1.1项目主要内容</w:t>
      </w:r>
      <w:bookmarkEnd w:id="4"/>
    </w:p>
    <w:p>
      <w:pPr>
        <w:ind w:firstLine="480" w:firstLineChars="150"/>
        <w:rPr>
          <w:rFonts w:ascii="仿宋" w:hAnsi="仿宋" w:eastAsia="仿宋"/>
          <w:sz w:val="32"/>
          <w:szCs w:val="32"/>
        </w:rPr>
      </w:pPr>
      <w:r>
        <w:rPr>
          <w:rFonts w:hint="eastAsia" w:ascii="仿宋" w:hAnsi="仿宋" w:eastAsia="仿宋"/>
          <w:sz w:val="32"/>
          <w:szCs w:val="32"/>
        </w:rPr>
        <w:t>赣州蓉江新区2022年退役军人事务及退役军人待遇专项经费项目为综合性项目，年初预算包含“退伍士兵一次性退役金”等20个二级子项目，由于部分子项目优先使用了上级资金或未实施，2022年度实际执行本级预算资金、纳入本次绩效评价的二级子项目内容为：发放退伍士兵一次性退役金、支付退役士兵适应性培训费用、发放转业待安置期间生活补助、发放涉军人员公益性岗位工资、发放义务兵家庭优待金、发放走访慰问金、由政府安置工作退役士兵待安置期间社保和医保接续、镇和村退役军人服务站点建设资金。</w:t>
      </w:r>
    </w:p>
    <w:p>
      <w:pPr>
        <w:ind w:firstLine="482" w:firstLineChars="150"/>
        <w:rPr>
          <w:rFonts w:ascii="仿宋" w:hAnsi="仿宋" w:eastAsia="仿宋"/>
          <w:b/>
          <w:sz w:val="32"/>
          <w:szCs w:val="32"/>
        </w:rPr>
      </w:pPr>
    </w:p>
    <w:p>
      <w:pPr>
        <w:ind w:firstLine="482" w:firstLineChars="150"/>
        <w:outlineLvl w:val="2"/>
        <w:rPr>
          <w:rFonts w:ascii="仿宋" w:hAnsi="仿宋" w:eastAsia="仿宋"/>
          <w:b/>
          <w:sz w:val="32"/>
          <w:szCs w:val="32"/>
        </w:rPr>
      </w:pPr>
      <w:bookmarkStart w:id="5" w:name="_Toc31127"/>
      <w:r>
        <w:rPr>
          <w:rFonts w:hint="eastAsia" w:ascii="仿宋" w:hAnsi="仿宋" w:eastAsia="仿宋"/>
          <w:b/>
          <w:sz w:val="32"/>
          <w:szCs w:val="32"/>
        </w:rPr>
        <w:t>1.1.2项目预算及资金来源</w:t>
      </w:r>
      <w:bookmarkEnd w:id="5"/>
    </w:p>
    <w:p>
      <w:pPr>
        <w:ind w:firstLine="480" w:firstLineChars="150"/>
        <w:rPr>
          <w:rFonts w:ascii="仿宋" w:hAnsi="仿宋" w:eastAsia="仿宋"/>
          <w:sz w:val="32"/>
          <w:szCs w:val="32"/>
        </w:rPr>
      </w:pPr>
      <w:r>
        <w:rPr>
          <w:rFonts w:hint="eastAsia" w:ascii="仿宋" w:hAnsi="仿宋" w:eastAsia="仿宋"/>
          <w:sz w:val="32"/>
          <w:szCs w:val="32"/>
        </w:rPr>
        <w:t>该项目2022年度预算金额818.08万元，全部由区财政安排预算资金。</w:t>
      </w:r>
    </w:p>
    <w:p>
      <w:pPr>
        <w:ind w:firstLine="480" w:firstLineChars="150"/>
        <w:rPr>
          <w:rFonts w:ascii="仿宋" w:hAnsi="仿宋" w:eastAsia="仿宋"/>
          <w:sz w:val="32"/>
          <w:szCs w:val="32"/>
        </w:rPr>
      </w:pPr>
    </w:p>
    <w:p>
      <w:pPr>
        <w:ind w:firstLine="482" w:firstLineChars="150"/>
        <w:outlineLvl w:val="2"/>
        <w:rPr>
          <w:rFonts w:ascii="仿宋" w:hAnsi="仿宋" w:eastAsia="仿宋"/>
          <w:b/>
          <w:sz w:val="32"/>
          <w:szCs w:val="32"/>
        </w:rPr>
      </w:pPr>
      <w:bookmarkStart w:id="6" w:name="_Toc1727"/>
      <w:r>
        <w:rPr>
          <w:rFonts w:hint="eastAsia" w:ascii="仿宋" w:hAnsi="仿宋" w:eastAsia="仿宋"/>
          <w:b/>
          <w:sz w:val="32"/>
          <w:szCs w:val="32"/>
        </w:rPr>
        <w:t>1.1.3项目实施主体</w:t>
      </w:r>
      <w:bookmarkEnd w:id="6"/>
    </w:p>
    <w:p>
      <w:pPr>
        <w:ind w:firstLine="480" w:firstLineChars="150"/>
        <w:rPr>
          <w:rFonts w:ascii="仿宋" w:hAnsi="仿宋" w:eastAsia="仿宋"/>
          <w:sz w:val="32"/>
          <w:szCs w:val="32"/>
        </w:rPr>
      </w:pPr>
      <w:r>
        <w:rPr>
          <w:rFonts w:hint="eastAsia" w:ascii="仿宋" w:hAnsi="仿宋" w:eastAsia="仿宋"/>
          <w:sz w:val="32"/>
          <w:szCs w:val="32"/>
        </w:rPr>
        <w:t>该项目实施主体为赣州蓉江新区退役军人服务中心，以下简称“区退役军人服务中心”。</w:t>
      </w:r>
    </w:p>
    <w:p>
      <w:pPr>
        <w:ind w:firstLine="482" w:firstLineChars="150"/>
        <w:rPr>
          <w:rFonts w:ascii="仿宋" w:hAnsi="仿宋" w:eastAsia="仿宋"/>
          <w:b/>
          <w:sz w:val="32"/>
          <w:szCs w:val="32"/>
        </w:rPr>
      </w:pPr>
    </w:p>
    <w:p>
      <w:pPr>
        <w:ind w:firstLine="482" w:firstLineChars="150"/>
        <w:outlineLvl w:val="2"/>
        <w:rPr>
          <w:rFonts w:ascii="仿宋" w:hAnsi="仿宋" w:eastAsia="仿宋"/>
          <w:b/>
          <w:sz w:val="32"/>
          <w:szCs w:val="32"/>
        </w:rPr>
      </w:pPr>
      <w:bookmarkStart w:id="7" w:name="_Toc1617"/>
      <w:r>
        <w:rPr>
          <w:rFonts w:hint="eastAsia" w:ascii="仿宋" w:hAnsi="仿宋" w:eastAsia="仿宋"/>
          <w:b/>
          <w:sz w:val="32"/>
          <w:szCs w:val="32"/>
        </w:rPr>
        <w:t>1.1.4项目绩效目标</w:t>
      </w:r>
      <w:bookmarkEnd w:id="7"/>
    </w:p>
    <w:p>
      <w:pPr>
        <w:ind w:firstLine="480" w:firstLineChars="150"/>
        <w:rPr>
          <w:rFonts w:ascii="仿宋" w:hAnsi="仿宋" w:eastAsia="仿宋"/>
          <w:sz w:val="32"/>
          <w:szCs w:val="32"/>
        </w:rPr>
      </w:pPr>
      <w:r>
        <w:rPr>
          <w:rFonts w:hint="eastAsia" w:ascii="仿宋" w:hAnsi="仿宋" w:eastAsia="仿宋"/>
          <w:sz w:val="32"/>
          <w:szCs w:val="32"/>
        </w:rPr>
        <w:t>区退役军人服务中心设立项目总目标：通过在春节、八一等重要节日对退役军人及涉军单位进行走访慰问、发放大学生入伍一次性奖励金等，让退役军人和现役军人感受到了党和政府的温暖，推进军地共建。</w:t>
      </w:r>
    </w:p>
    <w:p>
      <w:pPr>
        <w:ind w:firstLine="480" w:firstLineChars="150"/>
        <w:rPr>
          <w:rFonts w:ascii="仿宋" w:hAnsi="仿宋" w:eastAsia="仿宋"/>
          <w:sz w:val="32"/>
          <w:szCs w:val="32"/>
        </w:rPr>
      </w:pPr>
      <w:r>
        <w:rPr>
          <w:rFonts w:hint="eastAsia" w:ascii="仿宋" w:hAnsi="仿宋" w:eastAsia="仿宋"/>
          <w:sz w:val="32"/>
          <w:szCs w:val="32"/>
        </w:rPr>
        <w:t>区退役军人服务中心项目设立的项目绩效年度目标：</w:t>
      </w:r>
    </w:p>
    <w:p>
      <w:pPr>
        <w:ind w:firstLine="480" w:firstLineChars="150"/>
        <w:rPr>
          <w:rFonts w:ascii="仿宋" w:hAnsi="仿宋" w:eastAsia="仿宋"/>
          <w:sz w:val="32"/>
          <w:szCs w:val="32"/>
        </w:rPr>
      </w:pPr>
      <w:r>
        <w:rPr>
          <w:rFonts w:hint="eastAsia" w:ascii="仿宋" w:hAnsi="仿宋" w:eastAsia="仿宋"/>
          <w:sz w:val="32"/>
          <w:szCs w:val="32"/>
        </w:rPr>
        <w:t>数量指标---发放人数≥475人；</w:t>
      </w:r>
    </w:p>
    <w:p>
      <w:pPr>
        <w:ind w:firstLine="480" w:firstLineChars="150"/>
        <w:rPr>
          <w:rFonts w:ascii="仿宋" w:hAnsi="仿宋" w:eastAsia="仿宋"/>
          <w:sz w:val="32"/>
          <w:szCs w:val="32"/>
        </w:rPr>
      </w:pPr>
      <w:r>
        <w:rPr>
          <w:rFonts w:hint="eastAsia" w:ascii="仿宋" w:hAnsi="仿宋" w:eastAsia="仿宋"/>
          <w:sz w:val="32"/>
          <w:szCs w:val="32"/>
        </w:rPr>
        <w:t>质量指标---资金发放准确性≥90%；</w:t>
      </w:r>
    </w:p>
    <w:p>
      <w:pPr>
        <w:ind w:firstLine="480" w:firstLineChars="150"/>
        <w:rPr>
          <w:rFonts w:ascii="仿宋" w:hAnsi="仿宋" w:eastAsia="仿宋"/>
          <w:sz w:val="32"/>
          <w:szCs w:val="32"/>
        </w:rPr>
      </w:pPr>
      <w:r>
        <w:rPr>
          <w:rFonts w:hint="eastAsia" w:ascii="仿宋" w:hAnsi="仿宋" w:eastAsia="仿宋"/>
          <w:sz w:val="32"/>
          <w:szCs w:val="32"/>
        </w:rPr>
        <w:t>时效指标---按时发放率≥90%；</w:t>
      </w:r>
    </w:p>
    <w:p>
      <w:pPr>
        <w:ind w:firstLine="480" w:firstLineChars="150"/>
        <w:rPr>
          <w:rFonts w:ascii="仿宋" w:hAnsi="仿宋" w:eastAsia="仿宋"/>
          <w:sz w:val="32"/>
          <w:szCs w:val="32"/>
        </w:rPr>
      </w:pPr>
      <w:r>
        <w:rPr>
          <w:rFonts w:hint="eastAsia" w:ascii="仿宋" w:hAnsi="仿宋" w:eastAsia="仿宋"/>
          <w:sz w:val="32"/>
          <w:szCs w:val="32"/>
        </w:rPr>
        <w:t>成本指标---未设置；</w:t>
      </w:r>
    </w:p>
    <w:p>
      <w:pPr>
        <w:ind w:firstLine="480" w:firstLineChars="150"/>
        <w:rPr>
          <w:rFonts w:ascii="仿宋" w:hAnsi="仿宋" w:eastAsia="仿宋"/>
          <w:sz w:val="32"/>
          <w:szCs w:val="32"/>
        </w:rPr>
      </w:pPr>
      <w:r>
        <w:rPr>
          <w:rFonts w:hint="eastAsia" w:ascii="仿宋" w:hAnsi="仿宋" w:eastAsia="仿宋"/>
          <w:sz w:val="32"/>
          <w:szCs w:val="32"/>
        </w:rPr>
        <w:t>经济效益指标---未设置；</w:t>
      </w:r>
    </w:p>
    <w:p>
      <w:pPr>
        <w:ind w:firstLine="480" w:firstLineChars="150"/>
        <w:rPr>
          <w:rFonts w:ascii="仿宋" w:hAnsi="仿宋" w:eastAsia="仿宋"/>
          <w:sz w:val="32"/>
          <w:szCs w:val="32"/>
        </w:rPr>
      </w:pPr>
      <w:r>
        <w:rPr>
          <w:rFonts w:hint="eastAsia" w:ascii="仿宋" w:hAnsi="仿宋" w:eastAsia="仿宋"/>
          <w:sz w:val="32"/>
          <w:szCs w:val="32"/>
        </w:rPr>
        <w:t>社会效益指标---实现退役军人获得感得到有效提升；</w:t>
      </w:r>
    </w:p>
    <w:p>
      <w:pPr>
        <w:ind w:firstLine="480" w:firstLineChars="150"/>
        <w:rPr>
          <w:rFonts w:ascii="仿宋" w:hAnsi="仿宋" w:eastAsia="仿宋"/>
          <w:sz w:val="32"/>
          <w:szCs w:val="32"/>
        </w:rPr>
      </w:pPr>
      <w:r>
        <w:rPr>
          <w:rFonts w:hint="eastAsia" w:ascii="仿宋" w:hAnsi="仿宋" w:eastAsia="仿宋"/>
          <w:sz w:val="32"/>
          <w:szCs w:val="32"/>
        </w:rPr>
        <w:t>可持续影响指标---获得退役军人的认可；</w:t>
      </w:r>
    </w:p>
    <w:p>
      <w:pPr>
        <w:ind w:firstLine="480" w:firstLineChars="150"/>
        <w:rPr>
          <w:rFonts w:ascii="仿宋" w:hAnsi="仿宋" w:eastAsia="仿宋"/>
          <w:sz w:val="32"/>
          <w:szCs w:val="32"/>
        </w:rPr>
      </w:pPr>
      <w:r>
        <w:rPr>
          <w:rFonts w:hint="eastAsia" w:ascii="仿宋" w:hAnsi="仿宋" w:eastAsia="仿宋"/>
          <w:sz w:val="32"/>
          <w:szCs w:val="32"/>
        </w:rPr>
        <w:t>服务对象满意度指标---退役军人满意度≥90%。</w:t>
      </w:r>
    </w:p>
    <w:p>
      <w:pPr>
        <w:ind w:firstLine="321" w:firstLineChars="100"/>
        <w:rPr>
          <w:rFonts w:ascii="仿宋" w:hAnsi="仿宋" w:eastAsia="仿宋"/>
          <w:b/>
          <w:sz w:val="32"/>
          <w:szCs w:val="32"/>
        </w:rPr>
      </w:pPr>
    </w:p>
    <w:p>
      <w:pPr>
        <w:ind w:firstLine="321" w:firstLineChars="100"/>
        <w:outlineLvl w:val="1"/>
        <w:rPr>
          <w:rFonts w:ascii="仿宋" w:hAnsi="仿宋" w:eastAsia="仿宋"/>
          <w:b/>
          <w:sz w:val="32"/>
          <w:szCs w:val="32"/>
        </w:rPr>
      </w:pPr>
      <w:bookmarkStart w:id="8" w:name="_Toc27202"/>
      <w:bookmarkStart w:id="9" w:name="_Toc25703"/>
      <w:r>
        <w:rPr>
          <w:rFonts w:hint="eastAsia" w:ascii="仿宋" w:hAnsi="仿宋" w:eastAsia="仿宋"/>
          <w:b/>
          <w:sz w:val="32"/>
          <w:szCs w:val="32"/>
        </w:rPr>
        <w:t>1.2项目实施情况</w:t>
      </w:r>
      <w:bookmarkEnd w:id="8"/>
      <w:bookmarkEnd w:id="9"/>
    </w:p>
    <w:p>
      <w:pPr>
        <w:ind w:firstLine="321" w:firstLineChars="100"/>
        <w:outlineLvl w:val="2"/>
        <w:rPr>
          <w:rFonts w:ascii="仿宋" w:hAnsi="仿宋" w:eastAsia="仿宋"/>
          <w:b/>
          <w:sz w:val="32"/>
          <w:szCs w:val="32"/>
        </w:rPr>
      </w:pPr>
      <w:bookmarkStart w:id="10" w:name="_Toc32239"/>
      <w:r>
        <w:rPr>
          <w:rFonts w:hint="eastAsia" w:ascii="仿宋" w:hAnsi="仿宋" w:eastAsia="仿宋"/>
          <w:b/>
          <w:sz w:val="32"/>
          <w:szCs w:val="32"/>
        </w:rPr>
        <w:t>1.2.1本年度实际实施起止时间</w:t>
      </w:r>
      <w:bookmarkEnd w:id="10"/>
    </w:p>
    <w:p>
      <w:pPr>
        <w:ind w:firstLine="320" w:firstLineChars="100"/>
        <w:rPr>
          <w:rFonts w:ascii="仿宋" w:hAnsi="仿宋" w:eastAsia="仿宋"/>
          <w:b/>
          <w:sz w:val="32"/>
          <w:szCs w:val="32"/>
        </w:rPr>
      </w:pPr>
      <w:r>
        <w:rPr>
          <w:rFonts w:hint="eastAsia" w:ascii="仿宋" w:hAnsi="仿宋" w:eastAsia="仿宋"/>
          <w:sz w:val="32"/>
          <w:szCs w:val="32"/>
        </w:rPr>
        <w:t>2022年1月1日</w:t>
      </w:r>
      <w:r>
        <w:rPr>
          <w:rFonts w:ascii="仿宋" w:hAnsi="仿宋" w:eastAsia="仿宋"/>
          <w:sz w:val="32"/>
          <w:szCs w:val="32"/>
        </w:rPr>
        <w:t>—</w:t>
      </w:r>
      <w:r>
        <w:rPr>
          <w:rFonts w:hint="eastAsia" w:ascii="仿宋" w:hAnsi="仿宋" w:eastAsia="仿宋"/>
          <w:sz w:val="32"/>
          <w:szCs w:val="32"/>
        </w:rPr>
        <w:t>2022年12月31日</w:t>
      </w:r>
    </w:p>
    <w:p>
      <w:pPr>
        <w:ind w:firstLine="321" w:firstLineChars="100"/>
        <w:rPr>
          <w:rFonts w:ascii="仿宋" w:hAnsi="仿宋" w:eastAsia="仿宋"/>
          <w:b/>
          <w:sz w:val="32"/>
          <w:szCs w:val="32"/>
        </w:rPr>
      </w:pPr>
    </w:p>
    <w:p>
      <w:pPr>
        <w:ind w:firstLine="321" w:firstLineChars="100"/>
        <w:outlineLvl w:val="2"/>
        <w:rPr>
          <w:rFonts w:ascii="仿宋" w:hAnsi="仿宋" w:eastAsia="仿宋"/>
          <w:b/>
          <w:sz w:val="32"/>
          <w:szCs w:val="32"/>
        </w:rPr>
      </w:pPr>
      <w:bookmarkStart w:id="11" w:name="_Toc30570"/>
      <w:r>
        <w:rPr>
          <w:rFonts w:hint="eastAsia" w:ascii="仿宋" w:hAnsi="仿宋" w:eastAsia="仿宋"/>
          <w:b/>
          <w:sz w:val="32"/>
          <w:szCs w:val="32"/>
        </w:rPr>
        <w:t>1.2.2具体实施流程</w:t>
      </w:r>
      <w:bookmarkEnd w:id="11"/>
    </w:p>
    <w:p>
      <w:pPr>
        <w:ind w:firstLine="640" w:firstLineChars="200"/>
        <w:rPr>
          <w:rFonts w:ascii="仿宋" w:hAnsi="仿宋" w:eastAsia="仿宋"/>
          <w:sz w:val="32"/>
          <w:szCs w:val="32"/>
        </w:rPr>
      </w:pPr>
      <w:r>
        <w:rPr>
          <w:rFonts w:hint="eastAsia" w:ascii="仿宋" w:hAnsi="仿宋" w:eastAsia="仿宋"/>
          <w:sz w:val="32"/>
          <w:szCs w:val="32"/>
        </w:rPr>
        <w:t>2022年上半年项目实施流程为：区退役军人服务中心预拨项目资金到区下属镇（管理处），由镇（管理处）负责具体实施。</w:t>
      </w:r>
    </w:p>
    <w:p>
      <w:pPr>
        <w:ind w:firstLine="640" w:firstLineChars="200"/>
        <w:rPr>
          <w:rFonts w:ascii="仿宋" w:hAnsi="仿宋" w:eastAsia="仿宋"/>
          <w:sz w:val="32"/>
          <w:szCs w:val="32"/>
        </w:rPr>
      </w:pPr>
      <w:r>
        <w:rPr>
          <w:rFonts w:hint="eastAsia" w:ascii="仿宋" w:hAnsi="仿宋" w:eastAsia="仿宋"/>
          <w:sz w:val="32"/>
          <w:szCs w:val="32"/>
        </w:rPr>
        <w:t>2022年下半年项目实施流程整改为：镇（管理处）造发放表——区退役军人服务中心——业务科室收集并汇总核对资金支付数据——提交主任办公会审核——财务审核资金——领导签字——走预算一体化系统支付流程——走一卡通平台支付流程最终发放到优抚对象手上。</w:t>
      </w:r>
    </w:p>
    <w:p>
      <w:pPr>
        <w:ind w:firstLine="320" w:firstLineChars="100"/>
        <w:rPr>
          <w:rFonts w:ascii="仿宋" w:hAnsi="仿宋" w:eastAsia="仿宋"/>
          <w:sz w:val="32"/>
          <w:szCs w:val="32"/>
        </w:rPr>
      </w:pPr>
    </w:p>
    <w:p>
      <w:pPr>
        <w:ind w:firstLine="321" w:firstLineChars="100"/>
        <w:outlineLvl w:val="2"/>
        <w:rPr>
          <w:rFonts w:ascii="仿宋" w:hAnsi="仿宋" w:eastAsia="仿宋"/>
          <w:b/>
          <w:sz w:val="32"/>
          <w:szCs w:val="32"/>
        </w:rPr>
      </w:pPr>
      <w:bookmarkStart w:id="12" w:name="_Toc21617"/>
      <w:r>
        <w:rPr>
          <w:rFonts w:hint="eastAsia" w:ascii="仿宋" w:hAnsi="仿宋" w:eastAsia="仿宋"/>
          <w:b/>
          <w:sz w:val="32"/>
          <w:szCs w:val="32"/>
        </w:rPr>
        <w:t>1.2.3资金落实及支出情况</w:t>
      </w:r>
      <w:bookmarkEnd w:id="12"/>
    </w:p>
    <w:p>
      <w:pPr>
        <w:ind w:firstLine="320" w:firstLineChars="100"/>
        <w:rPr>
          <w:rFonts w:ascii="仿宋" w:hAnsi="仿宋" w:eastAsia="仿宋"/>
          <w:sz w:val="32"/>
          <w:szCs w:val="32"/>
        </w:rPr>
      </w:pPr>
      <w:r>
        <w:rPr>
          <w:rFonts w:hint="eastAsia" w:ascii="仿宋" w:hAnsi="仿宋" w:eastAsia="仿宋"/>
          <w:sz w:val="32"/>
          <w:szCs w:val="32"/>
        </w:rPr>
        <w:t>本年度项目落实到位资金818.08万元，由区财政拨付资金。</w:t>
      </w:r>
    </w:p>
    <w:p>
      <w:pPr>
        <w:ind w:firstLine="320" w:firstLineChars="100"/>
        <w:rPr>
          <w:rFonts w:ascii="仿宋" w:hAnsi="仿宋" w:eastAsia="仿宋"/>
          <w:b/>
          <w:sz w:val="32"/>
          <w:szCs w:val="32"/>
        </w:rPr>
      </w:pPr>
      <w:r>
        <w:rPr>
          <w:rFonts w:hint="eastAsia" w:ascii="仿宋" w:hAnsi="仿宋" w:eastAsia="仿宋" w:cs="Times New Roman"/>
          <w:sz w:val="32"/>
          <w:szCs w:val="32"/>
        </w:rPr>
        <w:t>2022年退役军人事务及退役军人待遇专项经费实际支出</w:t>
      </w:r>
      <w:r>
        <w:rPr>
          <w:rFonts w:hint="eastAsia" w:ascii="仿宋" w:hAnsi="仿宋" w:eastAsia="仿宋"/>
          <w:sz w:val="32"/>
          <w:szCs w:val="32"/>
        </w:rPr>
        <w:t>342.57</w:t>
      </w:r>
      <w:r>
        <w:rPr>
          <w:rFonts w:hint="eastAsia" w:ascii="仿宋" w:hAnsi="仿宋" w:eastAsia="仿宋" w:cs="Times New Roman"/>
          <w:sz w:val="32"/>
          <w:szCs w:val="32"/>
        </w:rPr>
        <w:t>万元，预算执行率41.87%。具体支出为：</w:t>
      </w:r>
      <w:r>
        <w:rPr>
          <w:rFonts w:hint="eastAsia" w:ascii="仿宋" w:hAnsi="仿宋" w:eastAsia="仿宋"/>
          <w:sz w:val="32"/>
          <w:szCs w:val="32"/>
        </w:rPr>
        <w:t>发放退伍士兵一次性退役金41.31万元、支付退役士兵适应性培训费用2.81万元、发放转业待安置期间生活补助3.63万元、发放涉军人员公益性岗位工资2.33万元、发放义务兵家庭优待金262.75万元、发放走访慰问金10.56万元、拨付镇、村退役军人服务站点建设资金10万元、支付由政府安置工作退役士兵待安置期间社保和医保接续支出5.65万元、支付优抚对象休养租车费用和订购双拥杂志支出1.34万元、发放优抚对象物价补贴0.95万元、支付退伍军人日常军事培训费用0.74万元、购买打印机碳粉和墨水0.5万元。</w:t>
      </w:r>
    </w:p>
    <w:p>
      <w:pPr>
        <w:ind w:firstLine="321" w:firstLineChars="100"/>
        <w:rPr>
          <w:rFonts w:ascii="仿宋" w:hAnsi="仿宋" w:eastAsia="仿宋"/>
          <w:b/>
          <w:sz w:val="32"/>
          <w:szCs w:val="32"/>
        </w:rPr>
      </w:pPr>
    </w:p>
    <w:p>
      <w:pPr>
        <w:ind w:firstLine="321" w:firstLineChars="100"/>
        <w:outlineLvl w:val="2"/>
        <w:rPr>
          <w:rFonts w:ascii="仿宋" w:hAnsi="仿宋" w:eastAsia="仿宋"/>
          <w:b/>
          <w:sz w:val="32"/>
          <w:szCs w:val="32"/>
        </w:rPr>
      </w:pPr>
      <w:bookmarkStart w:id="13" w:name="_Toc19945"/>
      <w:r>
        <w:rPr>
          <w:rFonts w:hint="eastAsia" w:ascii="仿宋" w:hAnsi="仿宋" w:eastAsia="仿宋"/>
          <w:b/>
          <w:sz w:val="32"/>
          <w:szCs w:val="32"/>
        </w:rPr>
        <w:t>1.2.4制度建设及执行情况</w:t>
      </w:r>
      <w:bookmarkEnd w:id="13"/>
    </w:p>
    <w:p>
      <w:pPr>
        <w:ind w:firstLine="320" w:firstLineChars="100"/>
        <w:rPr>
          <w:rFonts w:ascii="仿宋" w:hAnsi="仿宋" w:eastAsia="仿宋"/>
          <w:sz w:val="32"/>
          <w:szCs w:val="32"/>
        </w:rPr>
      </w:pPr>
      <w:r>
        <w:rPr>
          <w:rFonts w:hint="eastAsia" w:ascii="仿宋" w:hAnsi="仿宋" w:eastAsia="仿宋"/>
          <w:sz w:val="32"/>
          <w:szCs w:val="32"/>
        </w:rPr>
        <w:t>区退役军人服务中心未制定专门的项目管理相关制度，对项目专项资金的审核、管理、使用主要遵循日常工作流程和部门的财务管理制度，整改前存在预拨资金实际拨付情况监管不足、资金审核流程不够完善的情况。</w:t>
      </w:r>
    </w:p>
    <w:p>
      <w:pPr>
        <w:ind w:firstLine="321" w:firstLineChars="100"/>
        <w:rPr>
          <w:rFonts w:ascii="仿宋" w:hAnsi="仿宋" w:eastAsia="仿宋"/>
          <w:b/>
          <w:sz w:val="32"/>
          <w:szCs w:val="32"/>
        </w:rPr>
      </w:pPr>
    </w:p>
    <w:p>
      <w:pPr>
        <w:ind w:firstLine="321" w:firstLineChars="100"/>
        <w:outlineLvl w:val="0"/>
        <w:rPr>
          <w:rFonts w:ascii="仿宋" w:hAnsi="仿宋" w:eastAsia="仿宋"/>
          <w:b/>
          <w:sz w:val="32"/>
          <w:szCs w:val="32"/>
        </w:rPr>
      </w:pPr>
      <w:bookmarkStart w:id="14" w:name="_Toc10507"/>
      <w:bookmarkStart w:id="15" w:name="_Toc10461"/>
      <w:r>
        <w:rPr>
          <w:rFonts w:hint="eastAsia" w:ascii="仿宋" w:hAnsi="仿宋" w:eastAsia="仿宋"/>
          <w:b/>
          <w:sz w:val="32"/>
          <w:szCs w:val="32"/>
        </w:rPr>
        <w:t>2、</w:t>
      </w:r>
      <w:r>
        <w:rPr>
          <w:rFonts w:hint="eastAsia" w:ascii="仿宋" w:hAnsi="仿宋" w:eastAsia="仿宋" w:cs="仿宋"/>
          <w:b/>
          <w:sz w:val="32"/>
          <w:szCs w:val="32"/>
        </w:rPr>
        <w:t>绩效评价工作情况</w:t>
      </w:r>
      <w:bookmarkEnd w:id="14"/>
      <w:bookmarkEnd w:id="15"/>
    </w:p>
    <w:p>
      <w:pPr>
        <w:ind w:firstLine="321" w:firstLineChars="100"/>
        <w:outlineLvl w:val="1"/>
        <w:rPr>
          <w:rFonts w:ascii="仿宋" w:hAnsi="仿宋" w:eastAsia="仿宋"/>
          <w:b/>
          <w:sz w:val="32"/>
          <w:szCs w:val="32"/>
        </w:rPr>
      </w:pPr>
      <w:bookmarkStart w:id="16" w:name="_Toc5495"/>
      <w:bookmarkStart w:id="17" w:name="_Toc13302"/>
      <w:r>
        <w:rPr>
          <w:rFonts w:hint="eastAsia" w:ascii="仿宋" w:hAnsi="仿宋" w:eastAsia="仿宋"/>
          <w:b/>
          <w:sz w:val="32"/>
          <w:szCs w:val="32"/>
        </w:rPr>
        <w:t>2.1绩效评价目的</w:t>
      </w:r>
      <w:bookmarkEnd w:id="16"/>
      <w:bookmarkEnd w:id="17"/>
    </w:p>
    <w:p>
      <w:pPr>
        <w:spacing w:before="312" w:beforeLines="100" w:after="312" w:afterLines="100"/>
        <w:ind w:firstLine="320" w:firstLineChars="100"/>
        <w:rPr>
          <w:rFonts w:ascii="仿宋" w:hAnsi="仿宋" w:eastAsia="仿宋"/>
          <w:sz w:val="32"/>
          <w:szCs w:val="32"/>
        </w:rPr>
      </w:pPr>
      <w:r>
        <w:rPr>
          <w:rFonts w:hint="eastAsia" w:ascii="仿宋" w:hAnsi="仿宋" w:eastAsia="仿宋"/>
          <w:sz w:val="32"/>
          <w:szCs w:val="32"/>
        </w:rPr>
        <w:t xml:space="preserve">通过本次绩效评价，跟踪赣州蓉江新区2022年退役军人事务及退役军人待遇专项经费项目的实施情况，评价项目专项资金的使用情况，项目的决策、管理过程，以及项目实施的产出和效果，并总结项目实施取得的成果及存在问题，提高财政资金的使用质量与效率。  </w:t>
      </w:r>
    </w:p>
    <w:p>
      <w:pPr>
        <w:spacing w:before="312" w:beforeLines="100" w:after="312" w:afterLines="100" w:line="360" w:lineRule="auto"/>
        <w:ind w:firstLine="643" w:firstLineChars="200"/>
        <w:outlineLvl w:val="1"/>
        <w:rPr>
          <w:rFonts w:ascii="仿宋" w:hAnsi="仿宋" w:eastAsia="仿宋"/>
          <w:b/>
          <w:sz w:val="32"/>
          <w:szCs w:val="32"/>
        </w:rPr>
      </w:pPr>
      <w:bookmarkStart w:id="18" w:name="_Toc20061"/>
      <w:bookmarkStart w:id="19" w:name="_Toc6511"/>
      <w:r>
        <w:rPr>
          <w:rFonts w:hint="eastAsia" w:ascii="仿宋" w:hAnsi="仿宋" w:eastAsia="仿宋"/>
          <w:b/>
          <w:sz w:val="32"/>
          <w:szCs w:val="32"/>
        </w:rPr>
        <w:t>2.2绩效评价工作方案制定过程</w:t>
      </w:r>
      <w:bookmarkEnd w:id="18"/>
      <w:bookmarkEnd w:id="19"/>
      <w:r>
        <w:rPr>
          <w:rFonts w:hint="eastAsia" w:ascii="仿宋" w:hAnsi="仿宋" w:eastAsia="仿宋"/>
          <w:b/>
          <w:sz w:val="32"/>
          <w:szCs w:val="32"/>
        </w:rPr>
        <w:t xml:space="preserve"> </w:t>
      </w:r>
    </w:p>
    <w:p>
      <w:pPr>
        <w:spacing w:before="312" w:beforeLines="100" w:after="312" w:afterLines="100" w:line="360" w:lineRule="auto"/>
        <w:ind w:firstLine="643" w:firstLineChars="200"/>
        <w:outlineLvl w:val="2"/>
        <w:rPr>
          <w:rFonts w:ascii="仿宋" w:hAnsi="仿宋" w:eastAsia="仿宋"/>
          <w:sz w:val="32"/>
          <w:szCs w:val="32"/>
        </w:rPr>
      </w:pPr>
      <w:bookmarkStart w:id="20" w:name="_Toc10687"/>
      <w:r>
        <w:rPr>
          <w:rFonts w:hint="eastAsia" w:ascii="仿宋" w:hAnsi="仿宋" w:eastAsia="仿宋"/>
          <w:b/>
          <w:sz w:val="32"/>
          <w:szCs w:val="32"/>
        </w:rPr>
        <w:t>2.2.1前期调研</w:t>
      </w:r>
      <w:bookmarkEnd w:id="20"/>
    </w:p>
    <w:p>
      <w:pPr>
        <w:spacing w:before="312" w:beforeLines="100" w:after="312" w:afterLines="100" w:line="360" w:lineRule="auto"/>
        <w:ind w:firstLine="640" w:firstLineChars="200"/>
        <w:rPr>
          <w:rFonts w:ascii="仿宋" w:hAnsi="仿宋" w:eastAsia="仿宋"/>
          <w:sz w:val="32"/>
          <w:szCs w:val="32"/>
        </w:rPr>
      </w:pPr>
      <w:r>
        <w:rPr>
          <w:rFonts w:hint="eastAsia" w:ascii="仿宋" w:hAnsi="仿宋" w:eastAsia="仿宋"/>
          <w:sz w:val="32"/>
          <w:szCs w:val="32"/>
        </w:rPr>
        <w:t xml:space="preserve">在受托对项目开展绩效评价后，项目组及时与区退役军人服务中心项目负责人进行沟通，了解项目的基本情况：包括项目实施背景、计划实施内容、组织实施流程、项目验收等，并收集明细账、合同等相关文件资料。 </w:t>
      </w:r>
    </w:p>
    <w:p>
      <w:pPr>
        <w:spacing w:before="312" w:beforeLines="100" w:after="312" w:afterLines="100" w:line="360" w:lineRule="auto"/>
        <w:ind w:firstLine="643" w:firstLineChars="200"/>
        <w:outlineLvl w:val="2"/>
        <w:rPr>
          <w:rFonts w:ascii="仿宋" w:hAnsi="仿宋" w:eastAsia="仿宋"/>
          <w:b/>
          <w:sz w:val="32"/>
          <w:szCs w:val="32"/>
        </w:rPr>
      </w:pPr>
      <w:bookmarkStart w:id="21" w:name="_Toc31831"/>
      <w:r>
        <w:rPr>
          <w:rFonts w:hint="eastAsia" w:ascii="仿宋" w:hAnsi="仿宋" w:eastAsia="仿宋"/>
          <w:b/>
          <w:sz w:val="32"/>
          <w:szCs w:val="32"/>
        </w:rPr>
        <w:t>2.2.2研究文件</w:t>
      </w:r>
      <w:bookmarkEnd w:id="21"/>
      <w:r>
        <w:rPr>
          <w:rFonts w:hint="eastAsia" w:ascii="仿宋" w:hAnsi="仿宋" w:eastAsia="仿宋"/>
          <w:b/>
          <w:sz w:val="32"/>
          <w:szCs w:val="32"/>
        </w:rPr>
        <w:t xml:space="preserve"> </w:t>
      </w:r>
    </w:p>
    <w:p>
      <w:pPr>
        <w:spacing w:before="312" w:beforeLines="100" w:after="312" w:afterLines="100" w:line="360" w:lineRule="auto"/>
        <w:ind w:firstLine="640" w:firstLineChars="200"/>
        <w:rPr>
          <w:rFonts w:ascii="仿宋" w:hAnsi="仿宋" w:eastAsia="仿宋"/>
          <w:sz w:val="32"/>
          <w:szCs w:val="32"/>
        </w:rPr>
      </w:pPr>
      <w:r>
        <w:rPr>
          <w:rFonts w:hint="eastAsia" w:ascii="仿宋" w:hAnsi="仿宋" w:eastAsia="仿宋"/>
          <w:sz w:val="32"/>
          <w:szCs w:val="32"/>
        </w:rPr>
        <w:t xml:space="preserve">在对项目概况初步了解后，组织项目组成员对收集到的文件资料进行研读，并查阅与项目实施密切相关的规章制度、文件规定，力求获取对项目全方位的了解。根据赣州蓉江新区财政局的要求，结合项目特点，形成项目评价的总体思路。 </w:t>
      </w:r>
    </w:p>
    <w:p>
      <w:pPr>
        <w:spacing w:before="312" w:beforeLines="100" w:after="312" w:afterLines="100" w:line="360" w:lineRule="auto"/>
        <w:ind w:firstLine="643" w:firstLineChars="200"/>
        <w:outlineLvl w:val="2"/>
        <w:rPr>
          <w:rFonts w:ascii="仿宋" w:hAnsi="仿宋" w:eastAsia="仿宋"/>
          <w:b/>
          <w:sz w:val="32"/>
          <w:szCs w:val="32"/>
        </w:rPr>
      </w:pPr>
      <w:bookmarkStart w:id="22" w:name="_Toc12649"/>
      <w:r>
        <w:rPr>
          <w:rFonts w:hint="eastAsia" w:ascii="仿宋" w:hAnsi="仿宋" w:eastAsia="仿宋"/>
          <w:b/>
          <w:sz w:val="32"/>
          <w:szCs w:val="32"/>
        </w:rPr>
        <w:t>2.2.3绩效评价指标体系及工作方案设计</w:t>
      </w:r>
      <w:bookmarkEnd w:id="22"/>
      <w:r>
        <w:rPr>
          <w:rFonts w:hint="eastAsia" w:ascii="仿宋" w:hAnsi="仿宋" w:eastAsia="仿宋"/>
          <w:b/>
          <w:sz w:val="32"/>
          <w:szCs w:val="32"/>
        </w:rPr>
        <w:t xml:space="preserve"> </w:t>
      </w:r>
    </w:p>
    <w:p>
      <w:pPr>
        <w:spacing w:before="312" w:beforeLines="100" w:after="312" w:afterLines="100" w:line="360" w:lineRule="auto"/>
        <w:ind w:firstLine="640" w:firstLineChars="200"/>
        <w:rPr>
          <w:rFonts w:ascii="仿宋" w:hAnsi="仿宋" w:eastAsia="仿宋"/>
          <w:sz w:val="32"/>
          <w:szCs w:val="32"/>
        </w:rPr>
      </w:pPr>
      <w:r>
        <w:rPr>
          <w:rFonts w:hint="eastAsia" w:ascii="仿宋" w:hAnsi="仿宋" w:eastAsia="仿宋"/>
          <w:sz w:val="32"/>
          <w:szCs w:val="32"/>
        </w:rPr>
        <w:t xml:space="preserve">根据前期调研结果和对相关文件资料的研读，结合项目计划实施内容，形成方案初稿，并就方案的可行性、合理性向项目实施单位征求意见，根据反馈意见修改后形成最终的项目绩效评价方案。 </w:t>
      </w:r>
    </w:p>
    <w:p>
      <w:pPr>
        <w:spacing w:before="312" w:beforeLines="100" w:after="312" w:afterLines="100" w:line="360" w:lineRule="auto"/>
        <w:ind w:firstLine="643" w:firstLineChars="200"/>
        <w:outlineLvl w:val="1"/>
        <w:rPr>
          <w:rFonts w:ascii="仿宋" w:hAnsi="仿宋" w:eastAsia="仿宋"/>
          <w:b/>
          <w:sz w:val="32"/>
          <w:szCs w:val="32"/>
        </w:rPr>
      </w:pPr>
      <w:bookmarkStart w:id="23" w:name="_Toc23229"/>
      <w:bookmarkStart w:id="24" w:name="_Toc9555"/>
      <w:r>
        <w:rPr>
          <w:rFonts w:hint="eastAsia" w:ascii="仿宋" w:hAnsi="仿宋" w:eastAsia="仿宋"/>
          <w:b/>
          <w:sz w:val="32"/>
          <w:szCs w:val="32"/>
        </w:rPr>
        <w:t>2.3绩效评价原则、评价方法、评价依据等</w:t>
      </w:r>
      <w:bookmarkEnd w:id="23"/>
      <w:bookmarkEnd w:id="24"/>
      <w:r>
        <w:rPr>
          <w:rFonts w:hint="eastAsia" w:ascii="仿宋" w:hAnsi="仿宋" w:eastAsia="仿宋"/>
          <w:b/>
          <w:sz w:val="32"/>
          <w:szCs w:val="32"/>
        </w:rPr>
        <w:t xml:space="preserve"> </w:t>
      </w:r>
    </w:p>
    <w:p>
      <w:pPr>
        <w:spacing w:before="312" w:beforeLines="100" w:after="312" w:afterLines="100" w:line="360" w:lineRule="auto"/>
        <w:ind w:firstLine="643" w:firstLineChars="200"/>
        <w:outlineLvl w:val="2"/>
        <w:rPr>
          <w:rFonts w:ascii="仿宋" w:hAnsi="仿宋" w:eastAsia="仿宋"/>
          <w:sz w:val="32"/>
          <w:szCs w:val="32"/>
        </w:rPr>
      </w:pPr>
      <w:bookmarkStart w:id="25" w:name="_Toc805"/>
      <w:r>
        <w:rPr>
          <w:rFonts w:hint="eastAsia" w:ascii="仿宋" w:hAnsi="仿宋" w:eastAsia="仿宋"/>
          <w:b/>
          <w:sz w:val="32"/>
          <w:szCs w:val="32"/>
        </w:rPr>
        <w:t>2.3.1绩效评价原则</w:t>
      </w:r>
      <w:bookmarkEnd w:id="25"/>
    </w:p>
    <w:p>
      <w:pPr>
        <w:ind w:firstLine="320" w:firstLineChars="100"/>
        <w:rPr>
          <w:rFonts w:ascii="仿宋" w:hAnsi="仿宋" w:eastAsia="仿宋" w:cs="仿宋"/>
          <w:sz w:val="32"/>
          <w:szCs w:val="32"/>
        </w:rPr>
      </w:pPr>
      <w:r>
        <w:rPr>
          <w:rFonts w:hint="eastAsia" w:ascii="仿宋" w:hAnsi="仿宋" w:eastAsia="仿宋" w:cs="仿宋"/>
          <w:sz w:val="32"/>
          <w:szCs w:val="32"/>
        </w:rPr>
        <w:t xml:space="preserve">（1）科学规范。绩效评价注重财政支出的经济性、效率性和有效性，严格执行规定的程序，采用定量与定性分析相结合的方法。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（2）公正公开。绩效评价客观、公正，标准统一、资料可靠，依法公开并接受监督。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（3）绩效相关。绩效评价针对具体支出及其产出绩效进行，评价结果清晰反映支出和产出绩效之间的紧密对应关系。 </w:t>
      </w:r>
    </w:p>
    <w:p>
      <w:pPr>
        <w:spacing w:before="312" w:beforeLines="100" w:after="312" w:afterLines="100" w:line="360" w:lineRule="auto"/>
        <w:ind w:firstLine="643" w:firstLineChars="200"/>
        <w:outlineLvl w:val="2"/>
        <w:rPr>
          <w:rFonts w:ascii="仿宋" w:hAnsi="仿宋" w:eastAsia="仿宋"/>
          <w:b/>
          <w:sz w:val="32"/>
          <w:szCs w:val="32"/>
        </w:rPr>
      </w:pPr>
      <w:bookmarkStart w:id="26" w:name="_Toc9264"/>
      <w:r>
        <w:rPr>
          <w:rFonts w:hint="eastAsia" w:ascii="仿宋" w:hAnsi="仿宋" w:eastAsia="仿宋"/>
          <w:b/>
          <w:sz w:val="32"/>
          <w:szCs w:val="32"/>
        </w:rPr>
        <w:t>2.3.2评价方法</w:t>
      </w:r>
      <w:bookmarkEnd w:id="26"/>
      <w:r>
        <w:rPr>
          <w:rFonts w:hint="eastAsia" w:ascii="仿宋" w:hAnsi="仿宋" w:eastAsia="仿宋"/>
          <w:b/>
          <w:sz w:val="32"/>
          <w:szCs w:val="32"/>
        </w:rPr>
        <w:t xml:space="preserve">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本项目进行绩效评价时采用比较法等方法。 </w:t>
      </w:r>
    </w:p>
    <w:p>
      <w:pPr>
        <w:ind w:firstLine="320" w:firstLineChars="100"/>
        <w:rPr>
          <w:rFonts w:ascii="仿宋" w:hAnsi="仿宋" w:eastAsia="仿宋" w:cs="仿宋"/>
          <w:sz w:val="32"/>
          <w:szCs w:val="32"/>
        </w:rPr>
      </w:pPr>
      <w:r>
        <w:rPr>
          <w:rFonts w:hint="eastAsia" w:ascii="仿宋" w:hAnsi="仿宋" w:eastAsia="仿宋" w:cs="仿宋"/>
          <w:sz w:val="32"/>
          <w:szCs w:val="32"/>
        </w:rPr>
        <w:t>（1）比较法：充分运用项目预算资料、国家、赣州市发布的有关</w:t>
      </w:r>
      <w:r>
        <w:rPr>
          <w:rFonts w:hint="eastAsia" w:ascii="仿宋" w:hAnsi="仿宋" w:eastAsia="仿宋"/>
          <w:sz w:val="32"/>
          <w:szCs w:val="32"/>
        </w:rPr>
        <w:t>退役军人事务及退役军人待遇专项经费</w:t>
      </w:r>
      <w:r>
        <w:rPr>
          <w:rFonts w:hint="eastAsia" w:ascii="仿宋" w:hAnsi="仿宋" w:eastAsia="仿宋" w:cs="仿宋"/>
          <w:sz w:val="32"/>
          <w:szCs w:val="32"/>
        </w:rPr>
        <w:t xml:space="preserve">的各项法律规章制度，对比项目实际情况，找出差异与不足，对项目的各项绩效目标进行分析与评价。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（2）因素分析法：综合分析影响绩效目标实现、实施效果的内外因素，评价绩效目标实现程度。 </w:t>
      </w:r>
    </w:p>
    <w:p>
      <w:pPr>
        <w:ind w:firstLine="320" w:firstLineChars="100"/>
        <w:rPr>
          <w:rFonts w:ascii="仿宋" w:hAnsi="仿宋" w:eastAsia="仿宋" w:cs="仿宋"/>
          <w:sz w:val="32"/>
          <w:szCs w:val="32"/>
        </w:rPr>
      </w:pPr>
      <w:r>
        <w:rPr>
          <w:rFonts w:hint="eastAsia" w:ascii="仿宋" w:hAnsi="仿宋" w:eastAsia="仿宋" w:cs="仿宋"/>
          <w:sz w:val="32"/>
          <w:szCs w:val="32"/>
        </w:rPr>
        <w:t>（3）公众评判法：</w:t>
      </w:r>
      <w:r>
        <w:rPr>
          <w:rFonts w:ascii="仿宋" w:hAnsi="仿宋" w:eastAsia="仿宋" w:cs="仿宋"/>
          <w:sz w:val="32"/>
          <w:szCs w:val="32"/>
        </w:rPr>
        <w:t>通过</w:t>
      </w:r>
      <w:r>
        <w:rPr>
          <w:rFonts w:hint="eastAsia" w:ascii="仿宋" w:hAnsi="仿宋" w:eastAsia="仿宋" w:cs="仿宋"/>
          <w:sz w:val="32"/>
          <w:szCs w:val="32"/>
        </w:rPr>
        <w:t>对服务对象发布</w:t>
      </w:r>
      <w:r>
        <w:rPr>
          <w:rFonts w:ascii="仿宋" w:hAnsi="仿宋" w:eastAsia="仿宋" w:cs="仿宋"/>
          <w:sz w:val="32"/>
          <w:szCs w:val="32"/>
        </w:rPr>
        <w:t>公众问卷及抽样调查等对</w:t>
      </w:r>
      <w:r>
        <w:rPr>
          <w:rFonts w:hint="eastAsia" w:ascii="仿宋" w:hAnsi="仿宋" w:eastAsia="仿宋" w:cs="仿宋"/>
          <w:sz w:val="32"/>
          <w:szCs w:val="32"/>
        </w:rPr>
        <w:t>项目</w:t>
      </w:r>
      <w:r>
        <w:rPr>
          <w:rFonts w:ascii="仿宋" w:hAnsi="仿宋" w:eastAsia="仿宋" w:cs="仿宋"/>
          <w:sz w:val="32"/>
          <w:szCs w:val="32"/>
        </w:rPr>
        <w:t>支出效果进行评判，评价绩效目标实现程度</w:t>
      </w:r>
      <w:r>
        <w:rPr>
          <w:rFonts w:hint="eastAsia" w:ascii="仿宋" w:hAnsi="仿宋" w:eastAsia="仿宋" w:cs="仿宋"/>
          <w:sz w:val="32"/>
          <w:szCs w:val="32"/>
        </w:rPr>
        <w:t>和对象的满意度。</w:t>
      </w:r>
    </w:p>
    <w:p>
      <w:pPr>
        <w:ind w:firstLine="320" w:firstLineChars="100"/>
        <w:rPr>
          <w:rFonts w:ascii="仿宋" w:hAnsi="仿宋" w:eastAsia="仿宋" w:cs="仿宋"/>
          <w:sz w:val="32"/>
          <w:szCs w:val="32"/>
        </w:rPr>
      </w:pPr>
      <w:r>
        <w:rPr>
          <w:rFonts w:hint="eastAsia" w:ascii="仿宋" w:hAnsi="仿宋" w:eastAsia="仿宋" w:cs="仿宋"/>
          <w:sz w:val="32"/>
          <w:szCs w:val="32"/>
        </w:rPr>
        <w:t>（4）其他评价方法。</w:t>
      </w:r>
    </w:p>
    <w:p>
      <w:pPr>
        <w:spacing w:before="312" w:beforeLines="100" w:after="312" w:afterLines="100" w:line="360" w:lineRule="auto"/>
        <w:ind w:firstLine="321" w:firstLineChars="100"/>
        <w:outlineLvl w:val="2"/>
        <w:rPr>
          <w:rFonts w:ascii="仿宋" w:hAnsi="仿宋" w:eastAsia="仿宋"/>
          <w:b/>
          <w:sz w:val="32"/>
          <w:szCs w:val="32"/>
        </w:rPr>
      </w:pPr>
      <w:bookmarkStart w:id="27" w:name="_Toc7166"/>
      <w:r>
        <w:rPr>
          <w:rFonts w:hint="eastAsia" w:ascii="仿宋" w:hAnsi="仿宋" w:eastAsia="仿宋"/>
          <w:b/>
          <w:sz w:val="32"/>
          <w:szCs w:val="32"/>
        </w:rPr>
        <w:t>2.3.3评价依据</w:t>
      </w:r>
      <w:bookmarkEnd w:id="27"/>
      <w:r>
        <w:rPr>
          <w:rFonts w:hint="eastAsia" w:ascii="仿宋" w:hAnsi="仿宋" w:eastAsia="仿宋"/>
          <w:b/>
          <w:sz w:val="32"/>
          <w:szCs w:val="32"/>
        </w:rPr>
        <w:t xml:space="preserve"> </w:t>
      </w:r>
    </w:p>
    <w:p>
      <w:pPr>
        <w:ind w:firstLine="320" w:firstLineChars="100"/>
        <w:rPr>
          <w:rFonts w:ascii="仿宋" w:hAnsi="仿宋" w:eastAsia="仿宋" w:cs="仿宋"/>
          <w:sz w:val="32"/>
          <w:szCs w:val="32"/>
        </w:rPr>
      </w:pPr>
      <w:r>
        <w:rPr>
          <w:rFonts w:hint="eastAsia" w:ascii="仿宋" w:hAnsi="仿宋" w:eastAsia="仿宋" w:cs="仿宋"/>
          <w:sz w:val="32"/>
          <w:szCs w:val="32"/>
        </w:rPr>
        <w:t>《关于印发《项目支出绩效评价管理办法》的通知》（财预〔2020</w:t>
      </w:r>
      <w:r>
        <w:rPr>
          <w:rFonts w:ascii="仿宋" w:hAnsi="仿宋" w:eastAsia="仿宋" w:cs="仿宋"/>
          <w:sz w:val="32"/>
          <w:szCs w:val="32"/>
        </w:rPr>
        <w:t>〕</w:t>
      </w:r>
      <w:r>
        <w:rPr>
          <w:rFonts w:hint="eastAsia" w:ascii="仿宋" w:hAnsi="仿宋" w:eastAsia="仿宋" w:cs="仿宋"/>
          <w:sz w:val="32"/>
          <w:szCs w:val="32"/>
        </w:rPr>
        <w:t>10号</w:t>
      </w:r>
      <w:r>
        <w:rPr>
          <w:rFonts w:ascii="仿宋" w:hAnsi="仿宋" w:eastAsia="仿宋" w:cs="仿宋"/>
          <w:sz w:val="32"/>
          <w:szCs w:val="32"/>
        </w:rPr>
        <w:t>）</w:t>
      </w:r>
      <w:r>
        <w:rPr>
          <w:rFonts w:hint="eastAsia" w:ascii="仿宋" w:hAnsi="仿宋" w:eastAsia="仿宋" w:cs="仿宋"/>
          <w:sz w:val="32"/>
          <w:szCs w:val="32"/>
        </w:rPr>
        <w:t>；</w:t>
      </w:r>
    </w:p>
    <w:p>
      <w:pPr>
        <w:ind w:firstLine="320" w:firstLineChars="100"/>
        <w:rPr>
          <w:rFonts w:ascii="仿宋" w:hAnsi="仿宋" w:eastAsia="仿宋" w:cs="仿宋"/>
          <w:sz w:val="32"/>
          <w:szCs w:val="32"/>
        </w:rPr>
      </w:pPr>
      <w:r>
        <w:rPr>
          <w:rFonts w:hint="eastAsia" w:ascii="仿宋" w:hAnsi="仿宋" w:eastAsia="仿宋" w:cs="仿宋"/>
          <w:sz w:val="32"/>
          <w:szCs w:val="32"/>
        </w:rPr>
        <w:t>《中共赣州蓉江新区工作委员会 赣州蓉江新区管理委员会关于全面实施预算绩效管理的实施意见》（赣蓉党发</w:t>
      </w:r>
      <w:r>
        <w:rPr>
          <w:rFonts w:hint="eastAsia" w:ascii="仿宋" w:hAnsi="仿宋" w:eastAsia="仿宋"/>
          <w:sz w:val="32"/>
          <w:szCs w:val="32"/>
        </w:rPr>
        <w:t>〔2020〕</w:t>
      </w:r>
      <w:r>
        <w:rPr>
          <w:rFonts w:hint="eastAsia" w:ascii="仿宋" w:hAnsi="仿宋" w:eastAsia="仿宋" w:cs="仿宋"/>
          <w:sz w:val="32"/>
          <w:szCs w:val="32"/>
        </w:rPr>
        <w:t>1号</w:t>
      </w:r>
      <w:r>
        <w:rPr>
          <w:rFonts w:ascii="仿宋" w:hAnsi="仿宋" w:eastAsia="仿宋" w:cs="仿宋"/>
          <w:sz w:val="32"/>
          <w:szCs w:val="32"/>
        </w:rPr>
        <w:t>）</w:t>
      </w:r>
      <w:r>
        <w:rPr>
          <w:rFonts w:hint="eastAsia" w:ascii="仿宋" w:hAnsi="仿宋" w:eastAsia="仿宋" w:cs="仿宋"/>
          <w:sz w:val="32"/>
          <w:szCs w:val="32"/>
        </w:rPr>
        <w:t>；</w:t>
      </w:r>
    </w:p>
    <w:p>
      <w:pPr>
        <w:ind w:firstLine="480" w:firstLineChars="150"/>
        <w:rPr>
          <w:rFonts w:ascii="仿宋" w:hAnsi="仿宋" w:eastAsia="仿宋" w:cs="仿宋"/>
          <w:sz w:val="32"/>
          <w:szCs w:val="32"/>
        </w:rPr>
      </w:pPr>
      <w:r>
        <w:rPr>
          <w:rFonts w:hint="eastAsia" w:ascii="仿宋" w:hAnsi="仿宋" w:eastAsia="仿宋" w:cs="仿宋"/>
          <w:sz w:val="32"/>
          <w:szCs w:val="32"/>
        </w:rPr>
        <w:t>赣州蓉江新区财政局关于印发《推进赣州蓉江新区预算绩效管理提质增效工作方案的通知》（赣蓉财预字</w:t>
      </w:r>
      <w:r>
        <w:rPr>
          <w:rFonts w:hint="eastAsia" w:ascii="仿宋" w:hAnsi="仿宋" w:eastAsia="仿宋"/>
          <w:sz w:val="32"/>
          <w:szCs w:val="32"/>
        </w:rPr>
        <w:t>〔2022〕</w:t>
      </w:r>
      <w:r>
        <w:rPr>
          <w:rFonts w:hint="eastAsia" w:ascii="仿宋" w:hAnsi="仿宋" w:eastAsia="仿宋" w:cs="仿宋"/>
          <w:sz w:val="32"/>
          <w:szCs w:val="32"/>
        </w:rPr>
        <w:t>13号</w:t>
      </w:r>
      <w:r>
        <w:rPr>
          <w:rFonts w:ascii="仿宋" w:hAnsi="仿宋" w:eastAsia="仿宋" w:cs="仿宋"/>
          <w:sz w:val="32"/>
          <w:szCs w:val="32"/>
        </w:rPr>
        <w:t>）</w:t>
      </w:r>
      <w:r>
        <w:rPr>
          <w:rFonts w:hint="eastAsia" w:ascii="仿宋" w:hAnsi="仿宋" w:eastAsia="仿宋" w:cs="仿宋"/>
          <w:sz w:val="32"/>
          <w:szCs w:val="32"/>
        </w:rPr>
        <w:t>。</w:t>
      </w:r>
    </w:p>
    <w:p>
      <w:pPr>
        <w:spacing w:before="312" w:beforeLines="100" w:after="312" w:afterLines="100" w:line="360" w:lineRule="auto"/>
        <w:ind w:firstLine="643" w:firstLineChars="200"/>
        <w:outlineLvl w:val="2"/>
        <w:rPr>
          <w:rFonts w:ascii="仿宋" w:hAnsi="仿宋" w:eastAsia="仿宋"/>
          <w:b/>
          <w:sz w:val="32"/>
          <w:szCs w:val="32"/>
        </w:rPr>
      </w:pPr>
      <w:bookmarkStart w:id="28" w:name="_Toc17521"/>
      <w:r>
        <w:rPr>
          <w:rFonts w:hint="eastAsia" w:ascii="仿宋" w:hAnsi="仿宋" w:eastAsia="仿宋"/>
          <w:b/>
          <w:sz w:val="32"/>
          <w:szCs w:val="32"/>
        </w:rPr>
        <w:t>2.3.4数据收集与绩效评价实施过程</w:t>
      </w:r>
      <w:bookmarkEnd w:id="28"/>
      <w:r>
        <w:rPr>
          <w:rFonts w:hint="eastAsia" w:ascii="仿宋" w:hAnsi="仿宋" w:eastAsia="仿宋"/>
          <w:b/>
          <w:sz w:val="32"/>
          <w:szCs w:val="32"/>
        </w:rPr>
        <w:t xml:space="preserve">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评价小组在工作方案指导下，开展绩效评价工作。广泛收集项目资料并分析项目情况，采用访谈方法收集一手数据，通过对资料分析、研究、总结，对指标体系评分，得出项目取得的成绩，指出项目存在的问题，提出相关建议。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（1）工作方案策划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首先与委托方、项目实施单位等部门进行充分沟通与交流，制定绩效评价工作方案。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（2）资料收集 </w:t>
      </w:r>
    </w:p>
    <w:p>
      <w:pPr>
        <w:ind w:firstLine="480" w:firstLineChars="150"/>
        <w:rPr>
          <w:rFonts w:ascii="仿宋" w:hAnsi="仿宋" w:eastAsia="仿宋" w:cs="仿宋"/>
          <w:sz w:val="32"/>
          <w:szCs w:val="32"/>
        </w:rPr>
      </w:pPr>
      <w:r>
        <w:rPr>
          <w:rFonts w:hint="eastAsia" w:ascii="仿宋" w:hAnsi="仿宋" w:eastAsia="仿宋" w:cs="仿宋"/>
          <w:sz w:val="32"/>
          <w:szCs w:val="32"/>
        </w:rPr>
        <w:t xml:space="preserve">绩效评价组以绩效评价指标体系要求为基础进行资料收集，收集了项目实施的各项资料，包括预算编制、实施计划、实施内容、实施流程、管理制度、检查监督、档案管理等。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（3）访谈 </w:t>
      </w:r>
    </w:p>
    <w:p>
      <w:pPr>
        <w:ind w:firstLine="480" w:firstLineChars="150"/>
        <w:rPr>
          <w:rFonts w:ascii="仿宋" w:hAnsi="仿宋" w:eastAsia="仿宋" w:cs="仿宋"/>
          <w:sz w:val="32"/>
          <w:szCs w:val="32"/>
        </w:rPr>
      </w:pPr>
      <w:r>
        <w:rPr>
          <w:rFonts w:hint="eastAsia" w:ascii="仿宋" w:hAnsi="仿宋" w:eastAsia="仿宋" w:cs="仿宋"/>
          <w:sz w:val="32"/>
          <w:szCs w:val="32"/>
        </w:rPr>
        <w:t xml:space="preserve">为更进一步了解项目实施的各项情况，我们开展访谈，对项目有关人员进行情况了解。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（4）分析研究 </w:t>
      </w:r>
    </w:p>
    <w:p>
      <w:pPr>
        <w:ind w:firstLine="480" w:firstLineChars="150"/>
        <w:rPr>
          <w:rFonts w:ascii="仿宋" w:hAnsi="仿宋" w:eastAsia="仿宋" w:cs="仿宋"/>
          <w:sz w:val="32"/>
          <w:szCs w:val="32"/>
        </w:rPr>
      </w:pPr>
      <w:r>
        <w:rPr>
          <w:rFonts w:hint="eastAsia" w:ascii="仿宋" w:hAnsi="仿宋" w:eastAsia="仿宋" w:cs="仿宋"/>
          <w:sz w:val="32"/>
          <w:szCs w:val="32"/>
        </w:rPr>
        <w:t>按照制定的绩效评价指标体系，根据以上收集的文献资料、访谈等，对各项绩效评价指标进行分析与评价。</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（5）归纳总结 </w:t>
      </w:r>
    </w:p>
    <w:p>
      <w:pPr>
        <w:ind w:firstLine="320" w:firstLineChars="100"/>
        <w:rPr>
          <w:rFonts w:ascii="仿宋" w:hAnsi="仿宋" w:eastAsia="仿宋" w:cs="仿宋"/>
          <w:sz w:val="32"/>
          <w:szCs w:val="32"/>
        </w:rPr>
      </w:pPr>
      <w:r>
        <w:rPr>
          <w:rFonts w:hint="eastAsia" w:ascii="仿宋" w:hAnsi="仿宋" w:eastAsia="仿宋"/>
          <w:sz w:val="32"/>
          <w:szCs w:val="32"/>
        </w:rPr>
        <w:t xml:space="preserve">在充分调研、分析的基础上，对项目取得的成效与经验、项目存在的问题进行归纳总结，并提出相关建议。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（6）形成报告 </w:t>
      </w:r>
    </w:p>
    <w:p>
      <w:pPr>
        <w:ind w:firstLine="640" w:firstLineChars="200"/>
        <w:rPr>
          <w:rFonts w:ascii="仿宋" w:hAnsi="仿宋" w:eastAsia="仿宋"/>
          <w:sz w:val="32"/>
          <w:szCs w:val="32"/>
        </w:rPr>
      </w:pPr>
      <w:r>
        <w:rPr>
          <w:rFonts w:hint="eastAsia" w:ascii="仿宋" w:hAnsi="仿宋" w:eastAsia="仿宋"/>
          <w:sz w:val="32"/>
          <w:szCs w:val="32"/>
        </w:rPr>
        <w:t>在资料收集、访谈、分析研究、归纳总结的基础上，编制报告初稿，并按照委托方的意见对报告进行修改，形成绩效评价最终报告。</w:t>
      </w:r>
    </w:p>
    <w:p>
      <w:pPr>
        <w:ind w:firstLine="321" w:firstLineChars="100"/>
        <w:rPr>
          <w:rFonts w:ascii="仿宋" w:hAnsi="仿宋" w:eastAsia="仿宋"/>
          <w:b/>
          <w:sz w:val="32"/>
          <w:szCs w:val="32"/>
        </w:rPr>
      </w:pPr>
    </w:p>
    <w:p>
      <w:pPr>
        <w:ind w:firstLine="321" w:firstLineChars="100"/>
        <w:outlineLvl w:val="0"/>
        <w:rPr>
          <w:rFonts w:ascii="仿宋" w:hAnsi="仿宋" w:eastAsia="仿宋"/>
          <w:b/>
          <w:sz w:val="32"/>
          <w:szCs w:val="32"/>
        </w:rPr>
      </w:pPr>
      <w:bookmarkStart w:id="29" w:name="_Toc14034"/>
      <w:bookmarkStart w:id="30" w:name="_Toc31084"/>
      <w:r>
        <w:rPr>
          <w:rFonts w:hint="eastAsia" w:ascii="仿宋" w:hAnsi="仿宋" w:eastAsia="仿宋"/>
          <w:b/>
          <w:sz w:val="32"/>
          <w:szCs w:val="32"/>
        </w:rPr>
        <w:t>3、具体绩效分析</w:t>
      </w:r>
      <w:bookmarkEnd w:id="29"/>
      <w:bookmarkEnd w:id="30"/>
    </w:p>
    <w:p>
      <w:pPr>
        <w:ind w:firstLine="321" w:firstLineChars="100"/>
        <w:outlineLvl w:val="1"/>
        <w:rPr>
          <w:rFonts w:ascii="仿宋" w:hAnsi="仿宋" w:eastAsia="仿宋" w:cs="仿宋"/>
          <w:b/>
          <w:sz w:val="32"/>
          <w:szCs w:val="32"/>
        </w:rPr>
      </w:pPr>
      <w:bookmarkStart w:id="31" w:name="_Toc9000"/>
      <w:bookmarkStart w:id="32" w:name="_Toc30129"/>
      <w:r>
        <w:rPr>
          <w:rFonts w:hint="eastAsia" w:ascii="仿宋" w:hAnsi="仿宋" w:eastAsia="仿宋" w:cs="仿宋"/>
          <w:b/>
          <w:sz w:val="32"/>
          <w:szCs w:val="32"/>
        </w:rPr>
        <w:t>3.1项目决策性指标类</w:t>
      </w:r>
      <w:bookmarkEnd w:id="31"/>
      <w:bookmarkEnd w:id="32"/>
    </w:p>
    <w:p>
      <w:pPr>
        <w:spacing w:line="560" w:lineRule="exact"/>
        <w:ind w:firstLine="560"/>
        <w:rPr>
          <w:rFonts w:ascii="仿宋" w:hAnsi="仿宋" w:eastAsia="仿宋" w:cs="仿宋"/>
          <w:sz w:val="32"/>
          <w:szCs w:val="32"/>
        </w:rPr>
      </w:pPr>
      <w:r>
        <w:rPr>
          <w:rFonts w:hint="eastAsia" w:ascii="仿宋" w:hAnsi="仿宋" w:eastAsia="仿宋" w:cs="仿宋"/>
          <w:sz w:val="32"/>
          <w:szCs w:val="32"/>
        </w:rPr>
        <w:t>决策性指标类由3个二级指标和5个三级指标构成，权重分为</w:t>
      </w:r>
      <w:r>
        <w:rPr>
          <w:rFonts w:hint="eastAsia" w:ascii="仿宋" w:hAnsi="仿宋" w:eastAsia="仿宋" w:cs="仿宋"/>
          <w:color w:val="000000" w:themeColor="text1"/>
          <w:sz w:val="32"/>
          <w:szCs w:val="32"/>
        </w:rPr>
        <w:t>15</w:t>
      </w:r>
      <w:r>
        <w:rPr>
          <w:rFonts w:hint="eastAsia" w:ascii="仿宋" w:hAnsi="仿宋" w:eastAsia="仿宋" w:cs="仿宋"/>
          <w:sz w:val="32"/>
          <w:szCs w:val="32"/>
        </w:rPr>
        <w:t>分，实际得分13分，得分率86.67%。</w:t>
      </w:r>
    </w:p>
    <w:p>
      <w:pPr>
        <w:spacing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A.决策性指标</w:t>
      </w:r>
    </w:p>
    <w:p>
      <w:pPr>
        <w:spacing w:line="560" w:lineRule="exact"/>
        <w:ind w:firstLine="560"/>
        <w:rPr>
          <w:rFonts w:ascii="仿宋" w:hAnsi="仿宋" w:eastAsia="仿宋" w:cs="仿宋"/>
          <w:sz w:val="32"/>
          <w:szCs w:val="32"/>
        </w:rPr>
      </w:pPr>
      <w:r>
        <w:rPr>
          <w:rFonts w:hint="eastAsia" w:ascii="仿宋" w:hAnsi="仿宋" w:eastAsia="仿宋" w:cs="仿宋"/>
          <w:sz w:val="32"/>
          <w:szCs w:val="32"/>
        </w:rPr>
        <w:t>主要考察项目预算的编制、决策依据、决策程序，目标设立是否细化、量化、明确，决策依据是否充分，决策程序是否规范。</w:t>
      </w:r>
    </w:p>
    <w:p>
      <w:pPr>
        <w:spacing w:line="560" w:lineRule="exact"/>
        <w:ind w:firstLine="560"/>
        <w:rPr>
          <w:rFonts w:ascii="仿宋" w:hAnsi="仿宋" w:eastAsia="仿宋" w:cs="仿宋"/>
          <w:sz w:val="32"/>
          <w:szCs w:val="32"/>
        </w:rPr>
      </w:pPr>
    </w:p>
    <w:p>
      <w:pPr>
        <w:spacing w:line="560" w:lineRule="exact"/>
        <w:ind w:firstLine="560"/>
        <w:rPr>
          <w:rFonts w:ascii="仿宋" w:hAnsi="仿宋" w:eastAsia="仿宋" w:cs="仿宋"/>
          <w:sz w:val="32"/>
          <w:szCs w:val="32"/>
        </w:rPr>
      </w:pPr>
      <w:r>
        <w:rPr>
          <w:rFonts w:hint="eastAsia" w:ascii="仿宋" w:hAnsi="仿宋" w:eastAsia="仿宋" w:cs="仿宋"/>
          <w:sz w:val="32"/>
          <w:szCs w:val="32"/>
        </w:rPr>
        <w:t>各指标业绩值和实际得分详见表3-1</w:t>
      </w:r>
    </w:p>
    <w:p>
      <w:pPr>
        <w:spacing w:line="560" w:lineRule="exact"/>
        <w:ind w:firstLine="560"/>
        <w:rPr>
          <w:rFonts w:ascii="仿宋" w:hAnsi="仿宋" w:eastAsia="仿宋" w:cs="仿宋"/>
          <w:sz w:val="32"/>
          <w:szCs w:val="32"/>
        </w:rPr>
      </w:pP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表3-1 决策性指标评分表</w:t>
      </w:r>
    </w:p>
    <w:tbl>
      <w:tblPr>
        <w:tblStyle w:val="11"/>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4"/>
        <w:gridCol w:w="930"/>
        <w:gridCol w:w="2160"/>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34" w:type="dxa"/>
            <w:vAlign w:val="center"/>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指标名称</w:t>
            </w:r>
          </w:p>
        </w:tc>
        <w:tc>
          <w:tcPr>
            <w:tcW w:w="930" w:type="dxa"/>
            <w:vAlign w:val="center"/>
          </w:tcPr>
          <w:p>
            <w:pPr>
              <w:spacing w:line="400" w:lineRule="exact"/>
              <w:jc w:val="center"/>
              <w:rPr>
                <w:rFonts w:ascii="仿宋" w:hAnsi="仿宋" w:eastAsia="仿宋" w:cs="仿宋"/>
                <w:kern w:val="0"/>
                <w:sz w:val="32"/>
                <w:szCs w:val="32"/>
              </w:rPr>
            </w:pPr>
            <w:r>
              <w:rPr>
                <w:rFonts w:hint="eastAsia" w:ascii="仿宋" w:hAnsi="仿宋" w:eastAsia="仿宋" w:cs="仿宋"/>
                <w:kern w:val="0"/>
                <w:sz w:val="32"/>
                <w:szCs w:val="32"/>
              </w:rPr>
              <w:t>指标权重</w:t>
            </w:r>
          </w:p>
        </w:tc>
        <w:tc>
          <w:tcPr>
            <w:tcW w:w="2160" w:type="dxa"/>
            <w:vAlign w:val="center"/>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业绩值</w:t>
            </w:r>
          </w:p>
        </w:tc>
        <w:tc>
          <w:tcPr>
            <w:tcW w:w="1034" w:type="dxa"/>
            <w:vAlign w:val="center"/>
          </w:tcPr>
          <w:p>
            <w:pPr>
              <w:spacing w:line="400" w:lineRule="exact"/>
              <w:jc w:val="center"/>
              <w:rPr>
                <w:rFonts w:ascii="仿宋" w:hAnsi="仿宋" w:eastAsia="仿宋" w:cs="仿宋"/>
                <w:kern w:val="0"/>
                <w:sz w:val="32"/>
                <w:szCs w:val="32"/>
              </w:rPr>
            </w:pPr>
            <w:r>
              <w:rPr>
                <w:rFonts w:hint="eastAsia" w:ascii="仿宋" w:hAnsi="仿宋" w:eastAsia="仿宋" w:cs="仿宋"/>
                <w:kern w:val="0"/>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434" w:type="dxa"/>
          </w:tcPr>
          <w:p>
            <w:pPr>
              <w:spacing w:line="400" w:lineRule="exact"/>
              <w:jc w:val="left"/>
              <w:rPr>
                <w:rFonts w:ascii="仿宋" w:hAnsi="仿宋" w:eastAsia="仿宋" w:cs="仿宋"/>
                <w:kern w:val="0"/>
                <w:sz w:val="32"/>
                <w:szCs w:val="32"/>
              </w:rPr>
            </w:pPr>
            <w:r>
              <w:rPr>
                <w:rFonts w:hint="eastAsia" w:ascii="仿宋" w:hAnsi="仿宋" w:eastAsia="仿宋" w:cs="仿宋"/>
                <w:kern w:val="0"/>
                <w:sz w:val="32"/>
                <w:szCs w:val="32"/>
              </w:rPr>
              <w:t>A1 绩效目标</w:t>
            </w:r>
          </w:p>
        </w:tc>
        <w:tc>
          <w:tcPr>
            <w:tcW w:w="930" w:type="dxa"/>
          </w:tcPr>
          <w:p>
            <w:pPr>
              <w:spacing w:line="400" w:lineRule="exact"/>
              <w:ind w:firstLine="360"/>
              <w:jc w:val="center"/>
              <w:rPr>
                <w:rFonts w:ascii="仿宋" w:hAnsi="仿宋" w:eastAsia="仿宋" w:cs="仿宋"/>
                <w:kern w:val="0"/>
                <w:sz w:val="32"/>
                <w:szCs w:val="32"/>
              </w:rPr>
            </w:pP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A1.1绩效指标明确性</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ind w:left="160" w:hanging="160" w:hangingChars="50"/>
              <w:rPr>
                <w:rFonts w:ascii="仿宋" w:hAnsi="仿宋" w:eastAsia="仿宋" w:cs="仿宋"/>
                <w:kern w:val="0"/>
                <w:sz w:val="32"/>
                <w:szCs w:val="32"/>
              </w:rPr>
            </w:pPr>
            <w:r>
              <w:rPr>
                <w:rFonts w:hint="eastAsia" w:ascii="仿宋" w:hAnsi="仿宋" w:eastAsia="仿宋" w:cs="仿宋"/>
                <w:kern w:val="0"/>
                <w:sz w:val="32"/>
                <w:szCs w:val="32"/>
              </w:rPr>
              <w:t>明确性不足</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A1.2绩效指标科学合理性</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对应性不足</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34" w:type="dxa"/>
          </w:tcPr>
          <w:p>
            <w:pPr>
              <w:spacing w:line="400" w:lineRule="exact"/>
              <w:jc w:val="left"/>
              <w:rPr>
                <w:rFonts w:ascii="仿宋" w:hAnsi="仿宋" w:eastAsia="仿宋" w:cs="仿宋"/>
                <w:kern w:val="0"/>
                <w:sz w:val="32"/>
                <w:szCs w:val="32"/>
              </w:rPr>
            </w:pPr>
            <w:r>
              <w:rPr>
                <w:rFonts w:hint="eastAsia" w:ascii="仿宋" w:hAnsi="仿宋" w:eastAsia="仿宋" w:cs="仿宋"/>
                <w:kern w:val="0"/>
                <w:sz w:val="32"/>
                <w:szCs w:val="32"/>
              </w:rPr>
              <w:t>A2 决策过程</w:t>
            </w:r>
          </w:p>
        </w:tc>
        <w:tc>
          <w:tcPr>
            <w:tcW w:w="930" w:type="dxa"/>
          </w:tcPr>
          <w:p>
            <w:pPr>
              <w:spacing w:line="400" w:lineRule="exact"/>
              <w:ind w:firstLine="360"/>
              <w:jc w:val="center"/>
              <w:rPr>
                <w:rFonts w:ascii="仿宋" w:hAnsi="仿宋" w:eastAsia="仿宋" w:cs="仿宋"/>
                <w:kern w:val="0"/>
                <w:sz w:val="32"/>
                <w:szCs w:val="32"/>
              </w:rPr>
            </w:pP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A2.1决策依据</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达标</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A2.2决策程序</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达标</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34" w:type="dxa"/>
          </w:tcPr>
          <w:p>
            <w:pPr>
              <w:spacing w:line="400" w:lineRule="exact"/>
              <w:jc w:val="left"/>
              <w:rPr>
                <w:rFonts w:ascii="仿宋" w:hAnsi="仿宋" w:eastAsia="仿宋" w:cs="仿宋"/>
                <w:kern w:val="0"/>
                <w:sz w:val="32"/>
                <w:szCs w:val="32"/>
              </w:rPr>
            </w:pPr>
            <w:r>
              <w:rPr>
                <w:rFonts w:hint="eastAsia" w:ascii="仿宋" w:hAnsi="仿宋" w:eastAsia="仿宋" w:cs="仿宋"/>
                <w:kern w:val="0"/>
                <w:sz w:val="32"/>
                <w:szCs w:val="32"/>
              </w:rPr>
              <w:t>A3 资金分配</w:t>
            </w:r>
          </w:p>
        </w:tc>
        <w:tc>
          <w:tcPr>
            <w:tcW w:w="930" w:type="dxa"/>
          </w:tcPr>
          <w:p>
            <w:pPr>
              <w:spacing w:line="400" w:lineRule="exact"/>
              <w:ind w:firstLine="360"/>
              <w:jc w:val="center"/>
              <w:rPr>
                <w:rFonts w:ascii="仿宋" w:hAnsi="仿宋" w:eastAsia="仿宋" w:cs="仿宋"/>
                <w:kern w:val="0"/>
                <w:sz w:val="32"/>
                <w:szCs w:val="32"/>
              </w:rPr>
            </w:pP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A3.1分配办法</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达标</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44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小计</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13</w:t>
            </w:r>
          </w:p>
        </w:tc>
      </w:tr>
    </w:tbl>
    <w:p>
      <w:pPr>
        <w:ind w:firstLine="320" w:firstLineChars="100"/>
        <w:rPr>
          <w:rFonts w:ascii="仿宋" w:hAnsi="仿宋" w:eastAsia="仿宋"/>
          <w:sz w:val="32"/>
          <w:szCs w:val="32"/>
        </w:rPr>
      </w:pP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  绩效目标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A1.1绩效指标明确性</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区退役军人服务中心提供了该项目支出绩效自评表，自评表共设置3个一级指标、6个二级指标和6个三级指标。 6个三级指标中有量化指标4个，实现了大部分指标可清晰衡量的要求；指标按三级进行设置，基本细化；未设置成本等关键指标，指标的明确性不足。因此，评价认为项目绩效指标设定量化、细化，但不够明确，项目绩效指标明确性目标值未完全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该项指标满分3分，根据评分标准得2分。</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A1.2绩效指标科学合理性</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通过分析设置的绩效目标与项目预算编制、年度计划的工作任务之间的关系，可以看到绩效目标的设置与预算、计划是相互联系的；三级数量指标设置的目标值“发放人数≥475人”与项目包含子目众多、发放计划人数不一的情况无法对应，不具有合理性。因此，评价认为项目绩效指标设置依据预算计划，与项目年度预算资金相匹配，但未能与计划数相对应，项目绩效指标科学合理性目标值未完全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该项指标满分3分，根据评分标准得2分。</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  决策过程</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A2.1 决策依据</w:t>
      </w:r>
    </w:p>
    <w:p>
      <w:pPr>
        <w:ind w:firstLine="320" w:firstLineChars="100"/>
        <w:rPr>
          <w:rFonts w:ascii="仿宋" w:hAnsi="仿宋" w:eastAsia="仿宋"/>
          <w:sz w:val="32"/>
          <w:szCs w:val="32"/>
        </w:rPr>
      </w:pPr>
      <w:r>
        <w:rPr>
          <w:rFonts w:hint="eastAsia" w:ascii="仿宋" w:hAnsi="仿宋" w:eastAsia="仿宋" w:cs="仿宋"/>
          <w:sz w:val="32"/>
          <w:szCs w:val="32"/>
        </w:rPr>
        <w:t>区退役军人服务中心区分不同子项目提供了部分子项目立项所依据的相关文件资料，依据现有资料，</w:t>
      </w:r>
      <w:r>
        <w:rPr>
          <w:rFonts w:ascii="仿宋" w:hAnsi="仿宋" w:eastAsia="仿宋" w:cs="仿宋"/>
          <w:sz w:val="32"/>
          <w:szCs w:val="32"/>
        </w:rPr>
        <w:t>项目立项符合国家法律法规、国民经济发展规划、行业发展规划和相关政策</w:t>
      </w:r>
      <w:r>
        <w:rPr>
          <w:rFonts w:hint="eastAsia" w:ascii="仿宋" w:hAnsi="仿宋" w:eastAsia="仿宋" w:cs="仿宋"/>
          <w:sz w:val="32"/>
          <w:szCs w:val="32"/>
        </w:rPr>
        <w:t>；</w:t>
      </w:r>
      <w:r>
        <w:rPr>
          <w:rFonts w:ascii="仿宋" w:hAnsi="仿宋" w:eastAsia="仿宋" w:cs="仿宋"/>
          <w:sz w:val="32"/>
          <w:szCs w:val="32"/>
        </w:rPr>
        <w:t>项目立项与部门职责范围相符，属于部门履职所需</w:t>
      </w:r>
      <w:r>
        <w:rPr>
          <w:rFonts w:hint="eastAsia" w:ascii="仿宋" w:hAnsi="仿宋" w:eastAsia="仿宋" w:cs="仿宋"/>
          <w:sz w:val="32"/>
          <w:szCs w:val="32"/>
        </w:rPr>
        <w:t>。因此，评价认为决策依据指标实现目标值。</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A2.2 决策程序 </w:t>
      </w:r>
    </w:p>
    <w:p>
      <w:pPr>
        <w:ind w:firstLine="320" w:firstLineChars="100"/>
        <w:rPr>
          <w:rFonts w:ascii="仿宋" w:hAnsi="仿宋" w:eastAsia="仿宋"/>
          <w:sz w:val="32"/>
          <w:szCs w:val="32"/>
        </w:rPr>
      </w:pPr>
      <w:r>
        <w:rPr>
          <w:rFonts w:hint="eastAsia" w:ascii="仿宋" w:hAnsi="仿宋" w:eastAsia="仿宋" w:cs="仿宋"/>
          <w:sz w:val="32"/>
          <w:szCs w:val="32"/>
        </w:rPr>
        <w:t>根据项目立项的相关文件，比照项目内容，项目符合申报条件。区退役军人服务中心按照预算申请程序向区财政部门申请预算，区财政部门根据预算审核及绩效评价要求进行预算资金事前绩效审核工作并批复后，安排相应资金。项目申报、批复、调整程序符合相关管理办法。因此，评价认为项目决策程序合法合规，预期目标值实现。</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该项指标满分3分，根据评分标准得 3分。</w:t>
      </w:r>
    </w:p>
    <w:p>
      <w:pPr>
        <w:ind w:firstLine="320" w:firstLineChars="100"/>
        <w:rPr>
          <w:rFonts w:ascii="仿宋" w:hAnsi="仿宋" w:eastAsia="仿宋" w:cs="仿宋"/>
          <w:sz w:val="32"/>
          <w:szCs w:val="32"/>
        </w:rPr>
      </w:pPr>
      <w:r>
        <w:rPr>
          <w:rFonts w:hint="eastAsia" w:ascii="仿宋" w:hAnsi="仿宋" w:eastAsia="仿宋" w:cs="仿宋"/>
          <w:sz w:val="32"/>
          <w:szCs w:val="32"/>
        </w:rPr>
        <w:t>A3  资金分配</w:t>
      </w:r>
    </w:p>
    <w:p>
      <w:pPr>
        <w:ind w:firstLine="320" w:firstLineChars="100"/>
        <w:rPr>
          <w:rFonts w:ascii="仿宋" w:hAnsi="仿宋" w:eastAsia="仿宋" w:cs="仿宋"/>
          <w:sz w:val="32"/>
          <w:szCs w:val="32"/>
        </w:rPr>
      </w:pPr>
      <w:r>
        <w:rPr>
          <w:rFonts w:hint="eastAsia" w:ascii="仿宋" w:hAnsi="仿宋" w:eastAsia="仿宋" w:cs="仿宋"/>
          <w:sz w:val="32"/>
          <w:szCs w:val="32"/>
        </w:rPr>
        <w:t>A3.1 资金分配办法</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项目资金测算依据了相关基础数据、资金额度分配基本合理、与实际相适应。因此，评价认为项目资金分配办法目标值实现。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1" w:firstLineChars="100"/>
        <w:outlineLvl w:val="1"/>
        <w:rPr>
          <w:rFonts w:ascii="仿宋" w:hAnsi="仿宋" w:eastAsia="仿宋" w:cs="仿宋"/>
          <w:b/>
          <w:sz w:val="32"/>
          <w:szCs w:val="32"/>
        </w:rPr>
      </w:pPr>
      <w:bookmarkStart w:id="33" w:name="_Toc31925"/>
      <w:bookmarkStart w:id="34" w:name="_Toc4053"/>
      <w:r>
        <w:rPr>
          <w:rFonts w:hint="eastAsia" w:ascii="仿宋" w:hAnsi="仿宋" w:eastAsia="仿宋" w:cs="仿宋"/>
          <w:b/>
          <w:sz w:val="32"/>
          <w:szCs w:val="32"/>
        </w:rPr>
        <w:t>3.2项目管理性指标类</w:t>
      </w:r>
      <w:bookmarkEnd w:id="33"/>
      <w:bookmarkEnd w:id="34"/>
    </w:p>
    <w:p>
      <w:pPr>
        <w:spacing w:line="560" w:lineRule="exact"/>
        <w:ind w:firstLine="560"/>
        <w:rPr>
          <w:rFonts w:ascii="仿宋" w:hAnsi="仿宋" w:eastAsia="仿宋" w:cs="仿宋"/>
          <w:sz w:val="32"/>
          <w:szCs w:val="32"/>
        </w:rPr>
      </w:pPr>
      <w:r>
        <w:rPr>
          <w:rFonts w:hint="eastAsia" w:ascii="仿宋" w:hAnsi="仿宋" w:eastAsia="仿宋" w:cs="仿宋"/>
          <w:sz w:val="32"/>
          <w:szCs w:val="32"/>
        </w:rPr>
        <w:t>管理性指标类由3个二级指标和9个三级指标构成，权重分为</w:t>
      </w:r>
      <w:r>
        <w:rPr>
          <w:rFonts w:hint="eastAsia" w:ascii="仿宋" w:hAnsi="仿宋" w:eastAsia="仿宋" w:cs="仿宋"/>
          <w:color w:val="000000" w:themeColor="text1"/>
          <w:sz w:val="32"/>
          <w:szCs w:val="32"/>
        </w:rPr>
        <w:t>25</w:t>
      </w:r>
      <w:r>
        <w:rPr>
          <w:rFonts w:hint="eastAsia" w:ascii="仿宋" w:hAnsi="仿宋" w:eastAsia="仿宋" w:cs="仿宋"/>
          <w:sz w:val="32"/>
          <w:szCs w:val="32"/>
        </w:rPr>
        <w:t>分，实际得分20分，得分率80%。</w:t>
      </w:r>
    </w:p>
    <w:p>
      <w:pPr>
        <w:spacing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B.管理性指标</w:t>
      </w:r>
    </w:p>
    <w:p>
      <w:pPr>
        <w:spacing w:line="560" w:lineRule="exact"/>
        <w:ind w:firstLine="560"/>
        <w:rPr>
          <w:rFonts w:ascii="仿宋" w:hAnsi="仿宋" w:eastAsia="仿宋" w:cs="仿宋"/>
          <w:sz w:val="32"/>
          <w:szCs w:val="32"/>
        </w:rPr>
      </w:pPr>
      <w:r>
        <w:rPr>
          <w:rFonts w:hint="eastAsia" w:ascii="仿宋" w:hAnsi="仿宋" w:eastAsia="仿宋" w:cs="仿宋"/>
          <w:sz w:val="32"/>
          <w:szCs w:val="32"/>
        </w:rPr>
        <w:t>主要考察是否根据批复的预算和用途使用项目资金。项目实施过程中的管理、监督和核算是否符合相关规定。</w:t>
      </w:r>
    </w:p>
    <w:p>
      <w:pPr>
        <w:spacing w:line="560" w:lineRule="exact"/>
        <w:jc w:val="center"/>
        <w:rPr>
          <w:rFonts w:ascii="仿宋" w:hAnsi="仿宋" w:eastAsia="仿宋" w:cs="仿宋"/>
          <w:sz w:val="32"/>
          <w:szCs w:val="32"/>
        </w:rPr>
      </w:pPr>
      <w:r>
        <w:rPr>
          <w:rFonts w:hint="eastAsia" w:ascii="仿宋" w:hAnsi="仿宋" w:eastAsia="仿宋" w:cs="仿宋"/>
          <w:sz w:val="32"/>
          <w:szCs w:val="32"/>
        </w:rPr>
        <w:t>各指标业绩值和实际得分详见表3-2</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表3-2 管理性指标评分表</w:t>
      </w:r>
    </w:p>
    <w:tbl>
      <w:tblPr>
        <w:tblStyle w:val="11"/>
        <w:tblW w:w="8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5"/>
        <w:gridCol w:w="793"/>
        <w:gridCol w:w="2769"/>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3885"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指标名称</w:t>
            </w:r>
          </w:p>
        </w:tc>
        <w:tc>
          <w:tcPr>
            <w:tcW w:w="793" w:type="dxa"/>
          </w:tcPr>
          <w:p>
            <w:pPr>
              <w:spacing w:line="340" w:lineRule="exact"/>
              <w:rPr>
                <w:rFonts w:ascii="仿宋" w:hAnsi="仿宋" w:eastAsia="仿宋" w:cs="仿宋"/>
                <w:kern w:val="0"/>
                <w:sz w:val="28"/>
                <w:szCs w:val="28"/>
              </w:rPr>
            </w:pPr>
            <w:r>
              <w:rPr>
                <w:rFonts w:hint="eastAsia" w:ascii="仿宋" w:hAnsi="仿宋" w:eastAsia="仿宋" w:cs="仿宋"/>
                <w:kern w:val="0"/>
                <w:sz w:val="28"/>
                <w:szCs w:val="28"/>
              </w:rPr>
              <w:t>指标权重</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业绩值</w:t>
            </w:r>
          </w:p>
        </w:tc>
        <w:tc>
          <w:tcPr>
            <w:tcW w:w="1091" w:type="dxa"/>
          </w:tcPr>
          <w:p>
            <w:pPr>
              <w:spacing w:line="340" w:lineRule="exact"/>
              <w:rPr>
                <w:rFonts w:ascii="仿宋" w:hAnsi="仿宋" w:eastAsia="仿宋" w:cs="仿宋"/>
                <w:kern w:val="0"/>
                <w:sz w:val="28"/>
                <w:szCs w:val="28"/>
              </w:rPr>
            </w:pPr>
            <w:r>
              <w:rPr>
                <w:rFonts w:hint="eastAsia" w:ascii="仿宋" w:hAnsi="仿宋" w:eastAsia="仿宋" w:cs="仿宋"/>
                <w:kern w:val="0"/>
                <w:sz w:val="28"/>
                <w:szCs w:val="28"/>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3885" w:type="dxa"/>
          </w:tcPr>
          <w:p>
            <w:pPr>
              <w:spacing w:line="340" w:lineRule="exact"/>
              <w:jc w:val="left"/>
              <w:rPr>
                <w:rFonts w:ascii="仿宋" w:hAnsi="仿宋" w:eastAsia="仿宋" w:cs="仿宋"/>
                <w:kern w:val="0"/>
                <w:sz w:val="28"/>
                <w:szCs w:val="28"/>
              </w:rPr>
            </w:pPr>
            <w:r>
              <w:rPr>
                <w:rFonts w:hint="eastAsia" w:ascii="仿宋" w:hAnsi="仿宋" w:eastAsia="仿宋" w:cs="仿宋"/>
                <w:kern w:val="0"/>
                <w:sz w:val="28"/>
                <w:szCs w:val="28"/>
              </w:rPr>
              <w:t>B1 资金落实</w:t>
            </w:r>
          </w:p>
        </w:tc>
        <w:tc>
          <w:tcPr>
            <w:tcW w:w="793" w:type="dxa"/>
          </w:tcPr>
          <w:p>
            <w:pPr>
              <w:spacing w:line="340" w:lineRule="exact"/>
              <w:ind w:firstLine="360"/>
              <w:jc w:val="center"/>
              <w:rPr>
                <w:rFonts w:ascii="仿宋" w:hAnsi="仿宋" w:eastAsia="仿宋" w:cs="仿宋"/>
                <w:kern w:val="0"/>
                <w:sz w:val="28"/>
                <w:szCs w:val="28"/>
              </w:rPr>
            </w:pP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B1.1资金到位率</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c>
          <w:tcPr>
            <w:tcW w:w="2769"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B1.2预算执行率</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c>
          <w:tcPr>
            <w:tcW w:w="2769"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41.87%</w:t>
            </w:r>
          </w:p>
        </w:tc>
        <w:tc>
          <w:tcPr>
            <w:tcW w:w="1091" w:type="dxa"/>
          </w:tcPr>
          <w:p>
            <w:pPr>
              <w:spacing w:line="340" w:lineRule="exact"/>
              <w:ind w:right="140"/>
              <w:jc w:val="right"/>
              <w:rPr>
                <w:rFonts w:ascii="仿宋" w:hAnsi="仿宋" w:eastAsia="仿宋" w:cs="仿宋"/>
                <w:kern w:val="0"/>
                <w:sz w:val="28"/>
                <w:szCs w:val="28"/>
              </w:rPr>
            </w:pPr>
            <w:r>
              <w:rPr>
                <w:rFonts w:hint="eastAsia" w:ascii="仿宋" w:hAnsi="仿宋" w:eastAsia="仿宋" w:cs="仿宋"/>
                <w:kern w:val="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jc w:val="left"/>
              <w:rPr>
                <w:rFonts w:ascii="仿宋" w:hAnsi="仿宋" w:eastAsia="仿宋" w:cs="仿宋"/>
                <w:kern w:val="0"/>
                <w:sz w:val="28"/>
                <w:szCs w:val="28"/>
              </w:rPr>
            </w:pPr>
            <w:r>
              <w:rPr>
                <w:rFonts w:hint="eastAsia" w:ascii="仿宋" w:hAnsi="仿宋" w:eastAsia="仿宋" w:cs="仿宋"/>
                <w:kern w:val="0"/>
                <w:sz w:val="28"/>
                <w:szCs w:val="28"/>
              </w:rPr>
              <w:t>B2 资金管理</w:t>
            </w:r>
          </w:p>
        </w:tc>
        <w:tc>
          <w:tcPr>
            <w:tcW w:w="793" w:type="dxa"/>
          </w:tcPr>
          <w:p>
            <w:pPr>
              <w:spacing w:line="340" w:lineRule="exact"/>
              <w:ind w:firstLine="360"/>
              <w:jc w:val="center"/>
              <w:rPr>
                <w:rFonts w:ascii="仿宋" w:hAnsi="仿宋" w:eastAsia="仿宋" w:cs="仿宋"/>
                <w:kern w:val="0"/>
                <w:sz w:val="28"/>
                <w:szCs w:val="28"/>
              </w:rPr>
            </w:pP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B2.1资金使用</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2769" w:type="dxa"/>
          </w:tcPr>
          <w:p>
            <w:pPr>
              <w:spacing w:line="340" w:lineRule="exact"/>
              <w:rPr>
                <w:rFonts w:ascii="仿宋" w:hAnsi="仿宋" w:eastAsia="仿宋" w:cs="仿宋"/>
                <w:kern w:val="0"/>
                <w:sz w:val="28"/>
                <w:szCs w:val="28"/>
              </w:rPr>
            </w:pPr>
            <w:r>
              <w:rPr>
                <w:rFonts w:hint="eastAsia" w:ascii="仿宋" w:hAnsi="仿宋" w:eastAsia="仿宋" w:cs="仿宋"/>
                <w:kern w:val="0"/>
                <w:sz w:val="28"/>
                <w:szCs w:val="28"/>
              </w:rPr>
              <w:t>存在批复外支出</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B2.2财务管理</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jc w:val="left"/>
              <w:rPr>
                <w:rFonts w:ascii="仿宋" w:hAnsi="仿宋" w:eastAsia="仿宋" w:cs="仿宋"/>
                <w:kern w:val="0"/>
                <w:sz w:val="28"/>
                <w:szCs w:val="28"/>
              </w:rPr>
            </w:pPr>
            <w:r>
              <w:rPr>
                <w:rFonts w:hint="eastAsia" w:ascii="仿宋" w:hAnsi="仿宋" w:eastAsia="仿宋" w:cs="仿宋"/>
                <w:kern w:val="0"/>
                <w:sz w:val="28"/>
                <w:szCs w:val="28"/>
              </w:rPr>
              <w:t>B3 组织实施</w:t>
            </w:r>
          </w:p>
        </w:tc>
        <w:tc>
          <w:tcPr>
            <w:tcW w:w="793" w:type="dxa"/>
          </w:tcPr>
          <w:p>
            <w:pPr>
              <w:spacing w:line="340" w:lineRule="exact"/>
              <w:ind w:firstLine="360"/>
              <w:jc w:val="center"/>
              <w:rPr>
                <w:rFonts w:ascii="仿宋" w:hAnsi="仿宋" w:eastAsia="仿宋" w:cs="仿宋"/>
                <w:kern w:val="0"/>
                <w:sz w:val="28"/>
                <w:szCs w:val="28"/>
              </w:rPr>
            </w:pP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B3.1组织机构</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B3.2 管理制度</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420" w:firstLineChars="15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B3.3资金拨付及时性</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B3.4 公示情况</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B3.5 监督检查</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监督不够</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885"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小计</w:t>
            </w:r>
          </w:p>
        </w:tc>
        <w:tc>
          <w:tcPr>
            <w:tcW w:w="793" w:type="dxa"/>
          </w:tcPr>
          <w:p>
            <w:pPr>
              <w:spacing w:line="340" w:lineRule="exact"/>
              <w:jc w:val="right"/>
              <w:rPr>
                <w:rFonts w:ascii="仿宋" w:hAnsi="仿宋" w:eastAsia="仿宋" w:cs="仿宋"/>
                <w:kern w:val="0"/>
                <w:sz w:val="28"/>
                <w:szCs w:val="28"/>
              </w:rPr>
            </w:pPr>
            <w:r>
              <w:rPr>
                <w:rFonts w:hint="eastAsia" w:ascii="仿宋" w:hAnsi="仿宋" w:eastAsia="仿宋" w:cs="仿宋"/>
                <w:kern w:val="0"/>
                <w:sz w:val="28"/>
                <w:szCs w:val="28"/>
              </w:rPr>
              <w:t>25</w:t>
            </w: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jc w:val="right"/>
              <w:rPr>
                <w:rFonts w:ascii="仿宋" w:hAnsi="仿宋" w:eastAsia="仿宋" w:cs="仿宋"/>
                <w:kern w:val="0"/>
                <w:sz w:val="28"/>
                <w:szCs w:val="28"/>
              </w:rPr>
            </w:pPr>
            <w:r>
              <w:rPr>
                <w:rFonts w:hint="eastAsia" w:ascii="仿宋" w:hAnsi="仿宋" w:eastAsia="仿宋" w:cs="仿宋"/>
                <w:kern w:val="0"/>
                <w:sz w:val="28"/>
                <w:szCs w:val="28"/>
              </w:rPr>
              <w:t>20</w:t>
            </w:r>
          </w:p>
        </w:tc>
      </w:tr>
    </w:tbl>
    <w:p>
      <w:pPr>
        <w:spacing w:line="560" w:lineRule="exact"/>
        <w:ind w:firstLine="560"/>
        <w:rPr>
          <w:rFonts w:ascii="仿宋" w:hAnsi="仿宋" w:eastAsia="仿宋" w:cs="仿宋"/>
          <w:sz w:val="32"/>
          <w:szCs w:val="32"/>
        </w:rPr>
      </w:pPr>
    </w:p>
    <w:p>
      <w:pPr>
        <w:ind w:firstLine="320" w:firstLineChars="100"/>
        <w:rPr>
          <w:rFonts w:ascii="仿宋" w:hAnsi="仿宋" w:eastAsia="仿宋" w:cs="仿宋"/>
          <w:sz w:val="32"/>
          <w:szCs w:val="32"/>
        </w:rPr>
      </w:pPr>
      <w:r>
        <w:rPr>
          <w:rFonts w:hint="eastAsia" w:ascii="仿宋" w:hAnsi="仿宋" w:eastAsia="仿宋" w:cs="仿宋"/>
          <w:sz w:val="32"/>
          <w:szCs w:val="32"/>
        </w:rPr>
        <w:t>B1  资金落实</w:t>
      </w:r>
    </w:p>
    <w:p>
      <w:pPr>
        <w:ind w:firstLine="320" w:firstLineChars="100"/>
        <w:rPr>
          <w:rFonts w:ascii="仿宋" w:hAnsi="仿宋" w:eastAsia="仿宋" w:cs="仿宋"/>
          <w:sz w:val="32"/>
          <w:szCs w:val="32"/>
        </w:rPr>
      </w:pPr>
      <w:r>
        <w:rPr>
          <w:rFonts w:hint="eastAsia" w:ascii="仿宋" w:hAnsi="仿宋" w:eastAsia="仿宋" w:cs="仿宋"/>
          <w:sz w:val="32"/>
          <w:szCs w:val="32"/>
        </w:rPr>
        <w:t>B1.1 资金到位率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项目经费按年初专项资金预算818.08万元拨付，拨付金额即到位金额。年内项目资金实际到位818.08万元。资金到位率100%。因此，评价认为项目资金到位率指标目标值实现。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0" w:firstLineChars="100"/>
        <w:rPr>
          <w:rFonts w:ascii="仿宋" w:hAnsi="仿宋" w:eastAsia="仿宋"/>
          <w:sz w:val="32"/>
          <w:szCs w:val="32"/>
        </w:rPr>
      </w:pPr>
      <w:r>
        <w:rPr>
          <w:rFonts w:hint="eastAsia" w:ascii="仿宋" w:hAnsi="仿宋" w:eastAsia="仿宋"/>
          <w:sz w:val="32"/>
          <w:szCs w:val="32"/>
        </w:rPr>
        <w:t>B1.2 预算执行率</w:t>
      </w:r>
    </w:p>
    <w:p>
      <w:pPr>
        <w:ind w:firstLine="320" w:firstLineChars="100"/>
        <w:rPr>
          <w:rFonts w:ascii="仿宋" w:hAnsi="仿宋" w:eastAsia="仿宋"/>
          <w:sz w:val="32"/>
          <w:szCs w:val="32"/>
        </w:rPr>
      </w:pPr>
      <w:r>
        <w:rPr>
          <w:rFonts w:hint="eastAsia" w:ascii="仿宋" w:hAnsi="仿宋" w:eastAsia="仿宋" w:cs="仿宋"/>
          <w:sz w:val="32"/>
          <w:szCs w:val="32"/>
        </w:rPr>
        <w:t>项目年度预算执行金额为342.87万元。</w:t>
      </w:r>
      <w:r>
        <w:rPr>
          <w:rFonts w:ascii="仿宋" w:hAnsi="仿宋" w:eastAsia="仿宋"/>
          <w:sz w:val="32"/>
          <w:szCs w:val="32"/>
        </w:rPr>
        <w:t xml:space="preserve"> </w:t>
      </w:r>
      <w:r>
        <w:rPr>
          <w:rFonts w:hint="eastAsia" w:ascii="仿宋" w:hAnsi="仿宋" w:eastAsia="仿宋" w:cs="仿宋"/>
          <w:sz w:val="32"/>
          <w:szCs w:val="32"/>
        </w:rPr>
        <w:t>预算执行率=项目预算执行数/项目预算数×100%=342.57万元/818.08万元×100%=41.87%。因此，评价认为预算执行率指标未实现目标值。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该项指标满分3分，根据评分标准得0分。</w:t>
      </w:r>
    </w:p>
    <w:p>
      <w:pPr>
        <w:ind w:firstLine="320" w:firstLineChars="100"/>
        <w:rPr>
          <w:rFonts w:ascii="仿宋" w:hAnsi="仿宋" w:eastAsia="仿宋"/>
          <w:sz w:val="32"/>
          <w:szCs w:val="32"/>
        </w:rPr>
      </w:pPr>
      <w:r>
        <w:rPr>
          <w:rFonts w:hint="eastAsia" w:ascii="仿宋" w:hAnsi="仿宋" w:eastAsia="仿宋"/>
          <w:sz w:val="32"/>
          <w:szCs w:val="32"/>
        </w:rPr>
        <w:t>B2  资金管理</w:t>
      </w:r>
    </w:p>
    <w:p>
      <w:pPr>
        <w:ind w:firstLine="320" w:firstLineChars="100"/>
        <w:rPr>
          <w:rFonts w:ascii="仿宋" w:hAnsi="仿宋" w:eastAsia="仿宋"/>
          <w:sz w:val="32"/>
          <w:szCs w:val="32"/>
        </w:rPr>
      </w:pPr>
      <w:r>
        <w:rPr>
          <w:rFonts w:hint="eastAsia" w:ascii="仿宋" w:hAnsi="仿宋" w:eastAsia="仿宋"/>
          <w:sz w:val="32"/>
          <w:szCs w:val="32"/>
        </w:rPr>
        <w:t>B2.1 资金使用</w:t>
      </w:r>
    </w:p>
    <w:p>
      <w:pPr>
        <w:ind w:firstLine="320" w:firstLineChars="100"/>
        <w:rPr>
          <w:rFonts w:ascii="仿宋" w:hAnsi="仿宋" w:eastAsia="仿宋" w:cs="仿宋"/>
          <w:sz w:val="32"/>
          <w:szCs w:val="32"/>
        </w:rPr>
      </w:pPr>
      <w:r>
        <w:rPr>
          <w:rFonts w:hint="eastAsia" w:ascii="仿宋" w:hAnsi="仿宋" w:eastAsia="仿宋" w:cs="仿宋"/>
          <w:sz w:val="32"/>
          <w:szCs w:val="32"/>
        </w:rPr>
        <w:t>项目资金实际支出的</w:t>
      </w:r>
      <w:r>
        <w:rPr>
          <w:rFonts w:hint="eastAsia" w:ascii="仿宋" w:hAnsi="仿宋" w:eastAsia="仿宋"/>
          <w:sz w:val="32"/>
          <w:szCs w:val="32"/>
        </w:rPr>
        <w:t>优抚对象休养租车费用和订购双拥杂志、发放优抚对象物价补贴、支付退伍军人日常军事培训费用、购买打印机碳粉和墨水等办公费用支出</w:t>
      </w:r>
      <w:r>
        <w:rPr>
          <w:rFonts w:hint="eastAsia" w:ascii="仿宋" w:hAnsi="仿宋" w:eastAsia="仿宋" w:cs="仿宋"/>
          <w:sz w:val="32"/>
          <w:szCs w:val="32"/>
        </w:rPr>
        <w:t>不符合预算批复。因此，评价认为项目资金使用指标目标值未完全实现。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该项指标满分6分，根据评分标准得5分。</w:t>
      </w:r>
    </w:p>
    <w:p>
      <w:pPr>
        <w:ind w:firstLine="320" w:firstLineChars="100"/>
        <w:rPr>
          <w:rFonts w:ascii="仿宋" w:hAnsi="仿宋" w:eastAsia="仿宋"/>
          <w:sz w:val="32"/>
          <w:szCs w:val="32"/>
        </w:rPr>
      </w:pPr>
      <w:r>
        <w:rPr>
          <w:rFonts w:hint="eastAsia" w:ascii="仿宋" w:hAnsi="仿宋" w:eastAsia="仿宋"/>
          <w:sz w:val="32"/>
          <w:szCs w:val="32"/>
        </w:rPr>
        <w:t>B2.2 财务管理</w:t>
      </w:r>
    </w:p>
    <w:p>
      <w:pPr>
        <w:ind w:firstLine="640" w:firstLineChars="200"/>
        <w:rPr>
          <w:rFonts w:ascii="仿宋" w:hAnsi="仿宋" w:eastAsia="仿宋" w:cs="仿宋"/>
          <w:sz w:val="32"/>
          <w:szCs w:val="32"/>
        </w:rPr>
      </w:pPr>
      <w:r>
        <w:rPr>
          <w:rFonts w:hint="eastAsia" w:ascii="仿宋" w:hAnsi="仿宋" w:eastAsia="仿宋" w:cs="仿宋"/>
          <w:sz w:val="32"/>
          <w:szCs w:val="32"/>
        </w:rPr>
        <w:t>项目核算按适用的会计制度或会计准则进行会计核算和账务处理，区退役军人服务中心专门</w:t>
      </w:r>
      <w:r>
        <w:rPr>
          <w:rFonts w:hint="eastAsia" w:ascii="仿宋" w:hAnsi="仿宋" w:eastAsia="仿宋"/>
          <w:sz w:val="32"/>
          <w:szCs w:val="32"/>
        </w:rPr>
        <w:t>制定了《赣州蓉江新</w:t>
      </w:r>
      <w:r>
        <w:rPr>
          <w:rFonts w:hint="eastAsia" w:ascii="仿宋" w:hAnsi="仿宋" w:eastAsia="仿宋" w:cs="仿宋"/>
          <w:sz w:val="32"/>
          <w:szCs w:val="32"/>
        </w:rPr>
        <w:t>区退役军人服务中心财务制度</w:t>
      </w:r>
      <w:r>
        <w:rPr>
          <w:rFonts w:hint="eastAsia" w:ascii="仿宋" w:hAnsi="仿宋" w:eastAsia="仿宋"/>
          <w:sz w:val="32"/>
          <w:szCs w:val="32"/>
        </w:rPr>
        <w:t>》，对资金管理、费用支出做出了相应规定；通过整改，消除了在2022年2月以前存在的财务密钥管理漏洞，根据现有资料，未见有会计核算不规范的情况</w:t>
      </w:r>
      <w:r>
        <w:rPr>
          <w:rFonts w:hint="eastAsia" w:ascii="仿宋" w:hAnsi="仿宋" w:eastAsia="仿宋" w:cs="仿宋"/>
          <w:sz w:val="32"/>
          <w:szCs w:val="32"/>
        </w:rPr>
        <w:t>。因此，评价认为项目财务管理指标实现目标值。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0" w:firstLineChars="100"/>
        <w:rPr>
          <w:rFonts w:ascii="仿宋" w:hAnsi="仿宋" w:eastAsia="仿宋"/>
          <w:sz w:val="32"/>
          <w:szCs w:val="32"/>
        </w:rPr>
      </w:pPr>
      <w:r>
        <w:rPr>
          <w:rFonts w:hint="eastAsia" w:ascii="仿宋" w:hAnsi="仿宋" w:eastAsia="仿宋"/>
          <w:sz w:val="32"/>
          <w:szCs w:val="32"/>
        </w:rPr>
        <w:t>B3  组织实施</w:t>
      </w:r>
    </w:p>
    <w:p>
      <w:pPr>
        <w:ind w:firstLine="320" w:firstLineChars="100"/>
        <w:rPr>
          <w:rFonts w:ascii="仿宋" w:hAnsi="仿宋" w:eastAsia="仿宋"/>
          <w:sz w:val="32"/>
          <w:szCs w:val="32"/>
        </w:rPr>
      </w:pPr>
      <w:r>
        <w:rPr>
          <w:rFonts w:hint="eastAsia" w:ascii="仿宋" w:hAnsi="仿宋" w:eastAsia="仿宋"/>
          <w:sz w:val="32"/>
          <w:szCs w:val="32"/>
        </w:rPr>
        <w:t>B3.1 组织机构</w:t>
      </w:r>
    </w:p>
    <w:p>
      <w:pPr>
        <w:ind w:firstLine="320" w:firstLineChars="100"/>
        <w:rPr>
          <w:rFonts w:ascii="仿宋" w:hAnsi="仿宋" w:eastAsia="仿宋"/>
          <w:sz w:val="32"/>
          <w:szCs w:val="32"/>
        </w:rPr>
      </w:pPr>
      <w:r>
        <w:rPr>
          <w:rFonts w:hint="eastAsia" w:ascii="仿宋" w:hAnsi="仿宋" w:eastAsia="仿宋" w:cs="仿宋"/>
          <w:sz w:val="32"/>
          <w:szCs w:val="32"/>
        </w:rPr>
        <w:t>由于子项目数量较多，区退役军人服务中心在项目实施过程中，由局属业务科室根据其职责职能直接对接项目，并对项目实施人员进行了权责划分、明确分工。因此，评价认为项目</w:t>
      </w:r>
      <w:r>
        <w:rPr>
          <w:rFonts w:hint="eastAsia" w:ascii="仿宋" w:hAnsi="仿宋" w:eastAsia="仿宋"/>
          <w:sz w:val="32"/>
          <w:szCs w:val="32"/>
        </w:rPr>
        <w:t>组织机构</w:t>
      </w:r>
      <w:r>
        <w:rPr>
          <w:rFonts w:hint="eastAsia" w:ascii="仿宋" w:hAnsi="仿宋" w:eastAsia="仿宋" w:cs="仿宋"/>
          <w:sz w:val="32"/>
          <w:szCs w:val="32"/>
        </w:rPr>
        <w:t>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ind w:firstLine="320" w:firstLineChars="100"/>
        <w:rPr>
          <w:rFonts w:ascii="仿宋" w:hAnsi="仿宋" w:eastAsia="仿宋"/>
          <w:sz w:val="32"/>
          <w:szCs w:val="32"/>
        </w:rPr>
      </w:pPr>
      <w:r>
        <w:rPr>
          <w:rFonts w:hint="eastAsia" w:ascii="仿宋" w:hAnsi="仿宋" w:eastAsia="仿宋"/>
          <w:sz w:val="32"/>
          <w:szCs w:val="32"/>
        </w:rPr>
        <w:t>B3.2 管理制度</w:t>
      </w:r>
    </w:p>
    <w:p>
      <w:pPr>
        <w:spacing w:line="560" w:lineRule="exact"/>
        <w:ind w:firstLine="640" w:firstLineChars="200"/>
        <w:jc w:val="left"/>
        <w:rPr>
          <w:rFonts w:ascii="仿宋" w:hAnsi="仿宋" w:eastAsia="仿宋"/>
          <w:sz w:val="32"/>
          <w:szCs w:val="32"/>
        </w:rPr>
      </w:pPr>
      <w:r>
        <w:rPr>
          <w:rFonts w:hint="eastAsia" w:ascii="仿宋" w:hAnsi="仿宋" w:eastAsia="仿宋" w:cs="仿宋"/>
          <w:sz w:val="32"/>
          <w:szCs w:val="32"/>
        </w:rPr>
        <w:t>区退役军人服务中心制定了</w:t>
      </w:r>
      <w:r>
        <w:rPr>
          <w:rFonts w:hint="eastAsia" w:ascii="仿宋" w:hAnsi="仿宋" w:eastAsia="仿宋"/>
          <w:sz w:val="32"/>
          <w:szCs w:val="32"/>
        </w:rPr>
        <w:t>项目管理相关制度并基本遵照执行。</w:t>
      </w:r>
      <w:r>
        <w:rPr>
          <w:rFonts w:hint="eastAsia" w:ascii="仿宋" w:hAnsi="仿宋" w:eastAsia="仿宋" w:cs="仿宋"/>
          <w:sz w:val="32"/>
          <w:szCs w:val="32"/>
        </w:rPr>
        <w:t>因此，评价认为项目管理制度指标实现目标值。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ind w:firstLine="320" w:firstLineChars="100"/>
        <w:rPr>
          <w:rFonts w:ascii="仿宋" w:hAnsi="仿宋" w:eastAsia="仿宋"/>
          <w:sz w:val="32"/>
          <w:szCs w:val="32"/>
        </w:rPr>
      </w:pPr>
      <w:r>
        <w:rPr>
          <w:rFonts w:hint="eastAsia" w:ascii="仿宋" w:hAnsi="仿宋" w:eastAsia="仿宋"/>
          <w:sz w:val="32"/>
          <w:szCs w:val="32"/>
        </w:rPr>
        <w:t>B3.3 资金拨付及时性</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项目审结后资金拨付存在少量因账号错误等原因导致的拨付不及时情况，鉴于金额占比较小且及时整改，不予扣分。因此，评价认为项目资金拨付及时性指标实现目标值。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 2分。</w:t>
      </w:r>
    </w:p>
    <w:p>
      <w:pPr>
        <w:ind w:firstLine="320" w:firstLineChars="100"/>
        <w:rPr>
          <w:rFonts w:ascii="仿宋" w:hAnsi="仿宋" w:eastAsia="仿宋"/>
          <w:sz w:val="32"/>
          <w:szCs w:val="32"/>
        </w:rPr>
      </w:pPr>
      <w:r>
        <w:rPr>
          <w:rFonts w:hint="eastAsia" w:ascii="仿宋" w:hAnsi="仿宋" w:eastAsia="仿宋"/>
          <w:sz w:val="32"/>
          <w:szCs w:val="32"/>
        </w:rPr>
        <w:t>B3.4 公示情况</w:t>
      </w:r>
    </w:p>
    <w:p>
      <w:pPr>
        <w:ind w:firstLine="640" w:firstLineChars="200"/>
        <w:rPr>
          <w:rFonts w:ascii="仿宋" w:hAnsi="仿宋" w:eastAsia="仿宋" w:cs="仿宋"/>
          <w:sz w:val="32"/>
          <w:szCs w:val="32"/>
        </w:rPr>
      </w:pPr>
      <w:r>
        <w:rPr>
          <w:rFonts w:hint="eastAsia" w:ascii="仿宋" w:hAnsi="仿宋" w:eastAsia="仿宋" w:cs="仿宋"/>
          <w:sz w:val="32"/>
          <w:szCs w:val="32"/>
        </w:rPr>
        <w:t>根据访谈，区退役军人服务中心确认项目实施无相关公示要求，因此，我们评价了项目绩效评价的公示情况。通过查询蓉江区政府门户网站，区退役军人服务中心在部门决算中说明了绩效评价情况，公开了本项目绩效自评表。因此，评价认为项目公示情况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ind w:firstLine="320" w:firstLineChars="100"/>
        <w:rPr>
          <w:rFonts w:ascii="仿宋" w:hAnsi="仿宋" w:eastAsia="仿宋"/>
          <w:sz w:val="32"/>
          <w:szCs w:val="32"/>
        </w:rPr>
      </w:pPr>
      <w:r>
        <w:rPr>
          <w:rFonts w:hint="eastAsia" w:ascii="仿宋" w:hAnsi="仿宋" w:eastAsia="仿宋"/>
          <w:sz w:val="32"/>
          <w:szCs w:val="32"/>
        </w:rPr>
        <w:t>B3.5 监督检查</w:t>
      </w:r>
    </w:p>
    <w:p>
      <w:pPr>
        <w:ind w:firstLine="320" w:firstLineChars="100"/>
        <w:rPr>
          <w:rFonts w:ascii="仿宋" w:hAnsi="仿宋" w:eastAsia="仿宋" w:cs="仿宋"/>
          <w:sz w:val="32"/>
          <w:szCs w:val="32"/>
        </w:rPr>
      </w:pPr>
      <w:r>
        <w:rPr>
          <w:rFonts w:hint="eastAsia" w:ascii="仿宋" w:hAnsi="仿宋" w:eastAsia="仿宋" w:cs="仿宋"/>
          <w:sz w:val="32"/>
          <w:szCs w:val="32"/>
        </w:rPr>
        <w:t>区退役军人服务中心未建立相关监督检查机制，未见对项目实施进行监督检查的相关资料，项目实施的监督存在不足；但对于上级检查指出的相关问题，及时进行了整改。因此，评价认为项目监督检查指标目标值未完全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该项指标满分2分，根据评分标准得1分。</w:t>
      </w:r>
    </w:p>
    <w:p>
      <w:pPr>
        <w:spacing w:line="560" w:lineRule="exact"/>
        <w:jc w:val="left"/>
        <w:outlineLvl w:val="1"/>
        <w:rPr>
          <w:rFonts w:ascii="仿宋" w:hAnsi="仿宋" w:eastAsia="仿宋" w:cs="仿宋"/>
          <w:b/>
          <w:sz w:val="32"/>
          <w:szCs w:val="32"/>
        </w:rPr>
      </w:pPr>
      <w:bookmarkStart w:id="35" w:name="_Toc19425"/>
      <w:bookmarkStart w:id="36" w:name="_Toc23155"/>
      <w:r>
        <w:rPr>
          <w:rFonts w:hint="eastAsia" w:ascii="仿宋" w:hAnsi="仿宋" w:eastAsia="仿宋" w:cs="仿宋"/>
          <w:b/>
          <w:sz w:val="32"/>
          <w:szCs w:val="32"/>
        </w:rPr>
        <w:t>3.3项目产出性指标类</w:t>
      </w:r>
      <w:bookmarkEnd w:id="35"/>
      <w:bookmarkEnd w:id="36"/>
    </w:p>
    <w:p>
      <w:pPr>
        <w:spacing w:line="560" w:lineRule="exact"/>
        <w:ind w:firstLine="560"/>
        <w:jc w:val="left"/>
        <w:rPr>
          <w:rFonts w:ascii="仿宋" w:hAnsi="仿宋" w:eastAsia="仿宋" w:cs="仿宋"/>
          <w:sz w:val="32"/>
          <w:szCs w:val="32"/>
        </w:rPr>
      </w:pPr>
      <w:r>
        <w:rPr>
          <w:rFonts w:hint="eastAsia" w:ascii="仿宋" w:hAnsi="仿宋" w:eastAsia="仿宋" w:cs="仿宋"/>
          <w:sz w:val="32"/>
          <w:szCs w:val="32"/>
        </w:rPr>
        <w:t>产出性指标类由4个二级指标和4个三级指标构成，权重分为</w:t>
      </w:r>
      <w:r>
        <w:rPr>
          <w:rFonts w:hint="eastAsia" w:ascii="仿宋" w:hAnsi="仿宋" w:eastAsia="仿宋" w:cs="仿宋"/>
          <w:color w:val="000000" w:themeColor="text1"/>
          <w:sz w:val="32"/>
          <w:szCs w:val="32"/>
        </w:rPr>
        <w:t>32</w:t>
      </w:r>
      <w:r>
        <w:rPr>
          <w:rFonts w:hint="eastAsia" w:ascii="仿宋" w:hAnsi="仿宋" w:eastAsia="仿宋" w:cs="仿宋"/>
          <w:sz w:val="32"/>
          <w:szCs w:val="32"/>
        </w:rPr>
        <w:t>分，实际得分32分，得分率100%。</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C.产出性指标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主要考察项目实施后从数量、质量、时效和成本四个维度的达标情况，实现项目既定目标的程度。</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各指标业绩值和实际得分详见表3-5</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表3-5 产出性指标评分表</w:t>
      </w:r>
    </w:p>
    <w:tbl>
      <w:tblPr>
        <w:tblStyle w:val="11"/>
        <w:tblW w:w="85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1171"/>
        <w:gridCol w:w="1968"/>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4174" w:type="dxa"/>
            <w:vAlign w:val="center"/>
          </w:tcPr>
          <w:p>
            <w:pPr>
              <w:spacing w:line="3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指标名称</w:t>
            </w:r>
          </w:p>
        </w:tc>
        <w:tc>
          <w:tcPr>
            <w:tcW w:w="1171" w:type="dxa"/>
            <w:vAlign w:val="center"/>
          </w:tcPr>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指标</w:t>
            </w:r>
          </w:p>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权重</w:t>
            </w:r>
          </w:p>
        </w:tc>
        <w:tc>
          <w:tcPr>
            <w:tcW w:w="1968" w:type="dxa"/>
            <w:vAlign w:val="center"/>
          </w:tcPr>
          <w:p>
            <w:pPr>
              <w:spacing w:line="3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业绩值</w:t>
            </w:r>
          </w:p>
        </w:tc>
        <w:tc>
          <w:tcPr>
            <w:tcW w:w="1225" w:type="dxa"/>
            <w:vAlign w:val="center"/>
          </w:tcPr>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实际</w:t>
            </w:r>
          </w:p>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C1数量指标</w:t>
            </w:r>
          </w:p>
        </w:tc>
        <w:tc>
          <w:tcPr>
            <w:tcW w:w="1171" w:type="dxa"/>
          </w:tcPr>
          <w:p>
            <w:pPr>
              <w:ind w:firstLine="360"/>
              <w:jc w:val="center"/>
              <w:rPr>
                <w:rFonts w:ascii="仿宋" w:hAnsi="仿宋" w:eastAsia="仿宋" w:cs="仿宋"/>
                <w:kern w:val="0"/>
                <w:sz w:val="28"/>
                <w:szCs w:val="28"/>
              </w:rPr>
            </w:pPr>
          </w:p>
        </w:tc>
        <w:tc>
          <w:tcPr>
            <w:tcW w:w="1968"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C1.1项目实施率</w:t>
            </w:r>
          </w:p>
        </w:tc>
        <w:tc>
          <w:tcPr>
            <w:tcW w:w="1171"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1968"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C2质量指标</w:t>
            </w:r>
          </w:p>
        </w:tc>
        <w:tc>
          <w:tcPr>
            <w:tcW w:w="1171" w:type="dxa"/>
          </w:tcPr>
          <w:p>
            <w:pPr>
              <w:ind w:firstLine="360"/>
              <w:jc w:val="center"/>
              <w:rPr>
                <w:rFonts w:ascii="仿宋" w:hAnsi="仿宋" w:eastAsia="仿宋" w:cs="仿宋"/>
                <w:kern w:val="0"/>
                <w:sz w:val="28"/>
                <w:szCs w:val="28"/>
              </w:rPr>
            </w:pPr>
          </w:p>
        </w:tc>
        <w:tc>
          <w:tcPr>
            <w:tcW w:w="1968"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C2.1发放准确率</w:t>
            </w:r>
          </w:p>
        </w:tc>
        <w:tc>
          <w:tcPr>
            <w:tcW w:w="1171"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1968"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C3时效指标</w:t>
            </w:r>
          </w:p>
        </w:tc>
        <w:tc>
          <w:tcPr>
            <w:tcW w:w="1171" w:type="dxa"/>
          </w:tcPr>
          <w:p>
            <w:pPr>
              <w:ind w:firstLine="360"/>
              <w:jc w:val="center"/>
              <w:rPr>
                <w:rFonts w:ascii="仿宋" w:hAnsi="仿宋" w:eastAsia="仿宋" w:cs="仿宋"/>
                <w:kern w:val="0"/>
                <w:sz w:val="28"/>
                <w:szCs w:val="28"/>
              </w:rPr>
            </w:pPr>
          </w:p>
        </w:tc>
        <w:tc>
          <w:tcPr>
            <w:tcW w:w="1968"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C3.1实施及时性</w:t>
            </w:r>
          </w:p>
        </w:tc>
        <w:tc>
          <w:tcPr>
            <w:tcW w:w="1171"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1968"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及时</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C4成本指标</w:t>
            </w:r>
          </w:p>
        </w:tc>
        <w:tc>
          <w:tcPr>
            <w:tcW w:w="1171" w:type="dxa"/>
          </w:tcPr>
          <w:p>
            <w:pPr>
              <w:ind w:firstLine="360"/>
              <w:jc w:val="center"/>
              <w:rPr>
                <w:rFonts w:ascii="仿宋" w:hAnsi="仿宋" w:eastAsia="仿宋" w:cs="仿宋"/>
                <w:kern w:val="0"/>
                <w:sz w:val="28"/>
                <w:szCs w:val="28"/>
              </w:rPr>
            </w:pPr>
          </w:p>
        </w:tc>
        <w:tc>
          <w:tcPr>
            <w:tcW w:w="1968"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C4.1成本准确率</w:t>
            </w:r>
          </w:p>
        </w:tc>
        <w:tc>
          <w:tcPr>
            <w:tcW w:w="1171"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1968"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174"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小计</w:t>
            </w:r>
          </w:p>
        </w:tc>
        <w:tc>
          <w:tcPr>
            <w:tcW w:w="1171"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968" w:type="dxa"/>
          </w:tcPr>
          <w:p>
            <w:pPr>
              <w:ind w:firstLine="360"/>
              <w:jc w:val="center"/>
              <w:rPr>
                <w:rFonts w:ascii="仿宋" w:hAnsi="仿宋" w:eastAsia="仿宋" w:cs="仿宋"/>
                <w:kern w:val="0"/>
                <w:sz w:val="28"/>
                <w:szCs w:val="28"/>
              </w:rPr>
            </w:pPr>
          </w:p>
        </w:tc>
        <w:tc>
          <w:tcPr>
            <w:tcW w:w="1225" w:type="dxa"/>
          </w:tcPr>
          <w:p>
            <w:pPr>
              <w:rPr>
                <w:rFonts w:ascii="仿宋" w:hAnsi="仿宋" w:eastAsia="仿宋" w:cs="仿宋"/>
                <w:kern w:val="0"/>
                <w:sz w:val="28"/>
                <w:szCs w:val="28"/>
              </w:rPr>
            </w:pPr>
            <w:r>
              <w:rPr>
                <w:rFonts w:hint="eastAsia" w:ascii="仿宋" w:hAnsi="仿宋" w:eastAsia="仿宋" w:cs="仿宋"/>
                <w:kern w:val="0"/>
                <w:sz w:val="28"/>
                <w:szCs w:val="28"/>
              </w:rPr>
              <w:t>32</w:t>
            </w:r>
          </w:p>
        </w:tc>
      </w:tr>
    </w:tbl>
    <w:p>
      <w:pPr>
        <w:rPr>
          <w:rFonts w:ascii="仿宋" w:hAnsi="仿宋" w:eastAsia="仿宋"/>
          <w:sz w:val="32"/>
          <w:szCs w:val="32"/>
        </w:rPr>
      </w:pPr>
    </w:p>
    <w:p>
      <w:pPr>
        <w:ind w:firstLine="320" w:firstLineChars="100"/>
        <w:rPr>
          <w:rFonts w:ascii="仿宋" w:hAnsi="仿宋" w:eastAsia="仿宋"/>
          <w:sz w:val="32"/>
          <w:szCs w:val="32"/>
        </w:rPr>
      </w:pPr>
      <w:r>
        <w:rPr>
          <w:rFonts w:hint="eastAsia" w:ascii="仿宋" w:hAnsi="仿宋" w:eastAsia="仿宋"/>
          <w:sz w:val="32"/>
          <w:szCs w:val="32"/>
        </w:rPr>
        <w:t>C1  数量指标</w:t>
      </w:r>
    </w:p>
    <w:p>
      <w:pPr>
        <w:ind w:firstLine="320" w:firstLineChars="100"/>
        <w:rPr>
          <w:rFonts w:ascii="仿宋" w:hAnsi="仿宋" w:eastAsia="仿宋"/>
          <w:sz w:val="32"/>
          <w:szCs w:val="32"/>
        </w:rPr>
      </w:pPr>
      <w:r>
        <w:rPr>
          <w:rFonts w:hint="eastAsia" w:ascii="仿宋" w:hAnsi="仿宋" w:eastAsia="仿宋"/>
          <w:sz w:val="32"/>
          <w:szCs w:val="32"/>
        </w:rPr>
        <w:t>C1.1项目实施率</w:t>
      </w:r>
    </w:p>
    <w:p>
      <w:pPr>
        <w:ind w:firstLine="320" w:firstLineChars="100"/>
        <w:rPr>
          <w:rFonts w:ascii="仿宋" w:hAnsi="仿宋" w:eastAsia="仿宋"/>
          <w:sz w:val="32"/>
          <w:szCs w:val="32"/>
        </w:rPr>
      </w:pPr>
      <w:r>
        <w:rPr>
          <w:rFonts w:hint="eastAsia" w:ascii="仿宋" w:hAnsi="仿宋" w:eastAsia="仿宋"/>
          <w:sz w:val="32"/>
          <w:szCs w:val="32"/>
        </w:rPr>
        <w:t>项目实施率=（实际实施子项目数/计划实施子项目数）×100% =8个/8个×100%=100%。因此，评价认为</w:t>
      </w:r>
      <w:r>
        <w:rPr>
          <w:rFonts w:hint="eastAsia" w:ascii="仿宋" w:hAnsi="仿宋" w:eastAsia="仿宋" w:cs="仿宋"/>
          <w:kern w:val="0"/>
          <w:sz w:val="28"/>
          <w:szCs w:val="28"/>
        </w:rPr>
        <w:t>项目实施率</w:t>
      </w:r>
      <w:r>
        <w:rPr>
          <w:rFonts w:hint="eastAsia" w:ascii="仿宋" w:hAnsi="仿宋" w:eastAsia="仿宋"/>
          <w:sz w:val="32"/>
          <w:szCs w:val="32"/>
        </w:rPr>
        <w:t>指标实现目标值。</w:t>
      </w:r>
    </w:p>
    <w:p>
      <w:pPr>
        <w:ind w:firstLine="320" w:firstLineChars="100"/>
        <w:rPr>
          <w:rFonts w:ascii="仿宋" w:hAnsi="仿宋" w:eastAsia="仿宋"/>
          <w:sz w:val="32"/>
          <w:szCs w:val="32"/>
        </w:rPr>
      </w:pPr>
      <w:r>
        <w:rPr>
          <w:rFonts w:hint="eastAsia" w:ascii="仿宋" w:hAnsi="仿宋" w:eastAsia="仿宋" w:cs="仿宋"/>
          <w:sz w:val="32"/>
          <w:szCs w:val="32"/>
        </w:rPr>
        <w:t>该项指标满分8分，根据评分标准得8分。</w:t>
      </w:r>
    </w:p>
    <w:p>
      <w:pPr>
        <w:ind w:firstLine="320" w:firstLineChars="100"/>
        <w:rPr>
          <w:rFonts w:ascii="仿宋" w:hAnsi="仿宋" w:eastAsia="仿宋"/>
          <w:sz w:val="32"/>
          <w:szCs w:val="32"/>
        </w:rPr>
      </w:pPr>
      <w:r>
        <w:rPr>
          <w:rFonts w:hint="eastAsia" w:ascii="仿宋" w:hAnsi="仿宋" w:eastAsia="仿宋"/>
          <w:sz w:val="32"/>
          <w:szCs w:val="32"/>
        </w:rPr>
        <w:t>C.2质量指标</w:t>
      </w:r>
    </w:p>
    <w:p>
      <w:pPr>
        <w:ind w:firstLine="320" w:firstLineChars="100"/>
        <w:rPr>
          <w:rFonts w:ascii="仿宋" w:hAnsi="仿宋" w:eastAsia="仿宋"/>
          <w:sz w:val="32"/>
          <w:szCs w:val="32"/>
        </w:rPr>
      </w:pPr>
      <w:r>
        <w:rPr>
          <w:rFonts w:hint="eastAsia" w:ascii="仿宋" w:hAnsi="仿宋" w:eastAsia="仿宋"/>
          <w:sz w:val="32"/>
          <w:szCs w:val="32"/>
        </w:rPr>
        <w:t>C2.1发放准确率</w:t>
      </w:r>
    </w:p>
    <w:p>
      <w:pPr>
        <w:ind w:firstLine="320" w:firstLineChars="100"/>
        <w:rPr>
          <w:rFonts w:ascii="仿宋" w:hAnsi="仿宋" w:eastAsia="仿宋"/>
          <w:sz w:val="32"/>
          <w:szCs w:val="32"/>
        </w:rPr>
      </w:pPr>
      <w:r>
        <w:rPr>
          <w:rFonts w:hint="eastAsia" w:ascii="仿宋" w:hAnsi="仿宋" w:eastAsia="仿宋" w:cs="仿宋"/>
          <w:sz w:val="32"/>
          <w:szCs w:val="32"/>
        </w:rPr>
        <w:t>根据区退役军人服务中心按最终发放结果计算提供的产出数值，</w:t>
      </w:r>
      <w:r>
        <w:rPr>
          <w:rFonts w:hint="eastAsia" w:ascii="仿宋" w:hAnsi="仿宋" w:eastAsia="仿宋"/>
          <w:sz w:val="32"/>
          <w:szCs w:val="32"/>
        </w:rPr>
        <w:t>发放准确率=（准确发放的项目资金数/实际发放的项目资金数）×100%=100%。因此，评价认为项目发放准确率指标实现目标值。</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该项指标满分8分，根据评分标准得8分。</w:t>
      </w:r>
    </w:p>
    <w:p>
      <w:pPr>
        <w:ind w:firstLine="320" w:firstLineChars="100"/>
        <w:rPr>
          <w:rFonts w:ascii="仿宋" w:hAnsi="仿宋" w:eastAsia="仿宋" w:cs="仿宋"/>
          <w:sz w:val="32"/>
          <w:szCs w:val="32"/>
        </w:rPr>
      </w:pPr>
      <w:r>
        <w:rPr>
          <w:rFonts w:hint="eastAsia" w:ascii="仿宋" w:hAnsi="仿宋" w:eastAsia="仿宋"/>
          <w:sz w:val="32"/>
          <w:szCs w:val="32"/>
        </w:rPr>
        <w:t xml:space="preserve">C3  </w:t>
      </w:r>
      <w:r>
        <w:rPr>
          <w:rFonts w:hint="eastAsia" w:ascii="仿宋" w:hAnsi="仿宋" w:eastAsia="仿宋" w:cs="仿宋"/>
          <w:sz w:val="32"/>
          <w:szCs w:val="32"/>
        </w:rPr>
        <w:t>时效指标</w:t>
      </w:r>
    </w:p>
    <w:p>
      <w:pPr>
        <w:ind w:firstLine="320" w:firstLineChars="100"/>
        <w:rPr>
          <w:rFonts w:ascii="仿宋" w:hAnsi="仿宋" w:eastAsia="仿宋"/>
          <w:sz w:val="32"/>
          <w:szCs w:val="32"/>
        </w:rPr>
      </w:pPr>
      <w:r>
        <w:rPr>
          <w:rFonts w:hint="eastAsia" w:ascii="仿宋" w:hAnsi="仿宋" w:eastAsia="仿宋"/>
          <w:sz w:val="32"/>
          <w:szCs w:val="32"/>
        </w:rPr>
        <w:t>C3.1实施及时性</w:t>
      </w:r>
    </w:p>
    <w:p>
      <w:pPr>
        <w:ind w:firstLine="320" w:firstLineChars="100"/>
        <w:rPr>
          <w:rFonts w:ascii="仿宋" w:hAnsi="仿宋" w:eastAsia="仿宋"/>
          <w:sz w:val="32"/>
          <w:szCs w:val="32"/>
        </w:rPr>
      </w:pPr>
      <w:r>
        <w:rPr>
          <w:rFonts w:hint="eastAsia" w:ascii="仿宋" w:hAnsi="仿宋" w:eastAsia="仿宋"/>
          <w:sz w:val="32"/>
          <w:szCs w:val="32"/>
        </w:rPr>
        <w:t>根据访谈，项目启动、完成不存在延迟超时情况。</w:t>
      </w:r>
      <w:r>
        <w:rPr>
          <w:rFonts w:hint="eastAsia" w:ascii="仿宋" w:hAnsi="仿宋" w:eastAsia="仿宋" w:cs="仿宋"/>
          <w:sz w:val="32"/>
          <w:szCs w:val="32"/>
        </w:rPr>
        <w:t>因此，</w:t>
      </w:r>
      <w:r>
        <w:rPr>
          <w:rFonts w:hint="eastAsia" w:ascii="仿宋" w:hAnsi="仿宋" w:eastAsia="仿宋"/>
          <w:sz w:val="32"/>
          <w:szCs w:val="32"/>
        </w:rPr>
        <w:t>评价认为项目实施及时，指标目标值实现。</w:t>
      </w:r>
    </w:p>
    <w:p>
      <w:pPr>
        <w:ind w:firstLine="320" w:firstLineChars="100"/>
        <w:rPr>
          <w:rFonts w:ascii="仿宋" w:hAnsi="仿宋" w:eastAsia="仿宋"/>
          <w:sz w:val="32"/>
          <w:szCs w:val="32"/>
        </w:rPr>
      </w:pPr>
      <w:r>
        <w:rPr>
          <w:rFonts w:hint="eastAsia" w:ascii="仿宋" w:hAnsi="仿宋" w:eastAsia="仿宋" w:cs="仿宋"/>
          <w:sz w:val="32"/>
          <w:szCs w:val="32"/>
        </w:rPr>
        <w:t>该项指标满分8分，根据评分标准得 8分。</w:t>
      </w:r>
    </w:p>
    <w:p>
      <w:pPr>
        <w:ind w:firstLine="320" w:firstLineChars="100"/>
        <w:rPr>
          <w:rFonts w:ascii="仿宋" w:hAnsi="仿宋" w:eastAsia="仿宋"/>
          <w:sz w:val="32"/>
          <w:szCs w:val="32"/>
        </w:rPr>
      </w:pPr>
      <w:r>
        <w:rPr>
          <w:rFonts w:hint="eastAsia" w:ascii="仿宋" w:hAnsi="仿宋" w:eastAsia="仿宋"/>
          <w:sz w:val="32"/>
          <w:szCs w:val="32"/>
        </w:rPr>
        <w:t>C4  成本指标</w:t>
      </w:r>
    </w:p>
    <w:p>
      <w:pPr>
        <w:ind w:firstLine="320" w:firstLineChars="100"/>
        <w:rPr>
          <w:rFonts w:ascii="仿宋" w:hAnsi="仿宋" w:eastAsia="仿宋"/>
          <w:sz w:val="32"/>
          <w:szCs w:val="32"/>
        </w:rPr>
      </w:pPr>
      <w:r>
        <w:rPr>
          <w:rFonts w:hint="eastAsia" w:ascii="仿宋" w:hAnsi="仿宋" w:eastAsia="仿宋"/>
          <w:sz w:val="32"/>
          <w:szCs w:val="32"/>
        </w:rPr>
        <w:t>C4.1成本准确率</w:t>
      </w:r>
    </w:p>
    <w:p>
      <w:pPr>
        <w:ind w:firstLine="320" w:firstLineChars="100"/>
        <w:rPr>
          <w:rFonts w:ascii="仿宋" w:hAnsi="仿宋" w:eastAsia="仿宋"/>
          <w:sz w:val="32"/>
          <w:szCs w:val="32"/>
        </w:rPr>
      </w:pPr>
      <w:r>
        <w:rPr>
          <w:rFonts w:hint="eastAsia" w:ascii="仿宋" w:hAnsi="仿宋" w:eastAsia="仿宋" w:cs="仿宋"/>
          <w:sz w:val="32"/>
          <w:szCs w:val="32"/>
        </w:rPr>
        <w:t>根据区退役军人服务中心按各子项目规定发放标准计算提供的产出数值，</w:t>
      </w:r>
      <w:r>
        <w:rPr>
          <w:rFonts w:hint="eastAsia" w:ascii="仿宋" w:hAnsi="仿宋" w:eastAsia="仿宋"/>
          <w:sz w:val="32"/>
          <w:szCs w:val="32"/>
        </w:rPr>
        <w:t>成本准确率=实际支出金额/标准金额100%=100%。</w:t>
      </w:r>
    </w:p>
    <w:p>
      <w:pPr>
        <w:ind w:firstLine="320" w:firstLineChars="100"/>
        <w:rPr>
          <w:rFonts w:ascii="仿宋" w:hAnsi="仿宋" w:eastAsia="仿宋"/>
          <w:sz w:val="32"/>
          <w:szCs w:val="32"/>
        </w:rPr>
      </w:pPr>
      <w:r>
        <w:rPr>
          <w:rFonts w:hint="eastAsia" w:ascii="仿宋" w:hAnsi="仿宋" w:eastAsia="仿宋" w:cs="仿宋"/>
          <w:sz w:val="32"/>
          <w:szCs w:val="32"/>
        </w:rPr>
        <w:t>因此，</w:t>
      </w:r>
      <w:r>
        <w:rPr>
          <w:rFonts w:hint="eastAsia" w:ascii="仿宋" w:hAnsi="仿宋" w:eastAsia="仿宋"/>
          <w:sz w:val="32"/>
          <w:szCs w:val="32"/>
        </w:rPr>
        <w:t>评价认为项目成本准确率指标目标值实现。</w:t>
      </w:r>
    </w:p>
    <w:p>
      <w:pPr>
        <w:ind w:firstLine="320" w:firstLineChars="100"/>
        <w:rPr>
          <w:rFonts w:ascii="仿宋" w:hAnsi="仿宋" w:eastAsia="仿宋"/>
          <w:sz w:val="32"/>
          <w:szCs w:val="32"/>
        </w:rPr>
      </w:pPr>
      <w:r>
        <w:rPr>
          <w:rFonts w:hint="eastAsia" w:ascii="仿宋" w:hAnsi="仿宋" w:eastAsia="仿宋" w:cs="仿宋"/>
          <w:sz w:val="32"/>
          <w:szCs w:val="32"/>
        </w:rPr>
        <w:t>该项指标满分8分，根据评分标准得 8分。</w:t>
      </w:r>
    </w:p>
    <w:p>
      <w:pPr>
        <w:spacing w:line="560" w:lineRule="exact"/>
        <w:jc w:val="left"/>
        <w:outlineLvl w:val="1"/>
        <w:rPr>
          <w:rFonts w:ascii="仿宋" w:hAnsi="仿宋" w:eastAsia="仿宋" w:cs="仿宋"/>
          <w:b/>
          <w:sz w:val="32"/>
          <w:szCs w:val="32"/>
        </w:rPr>
      </w:pPr>
      <w:bookmarkStart w:id="37" w:name="_Toc27296"/>
      <w:bookmarkStart w:id="38" w:name="_Toc6036"/>
      <w:r>
        <w:rPr>
          <w:rFonts w:hint="eastAsia" w:ascii="仿宋" w:hAnsi="仿宋" w:eastAsia="仿宋" w:cs="仿宋"/>
          <w:b/>
          <w:sz w:val="32"/>
          <w:szCs w:val="32"/>
        </w:rPr>
        <w:t>3.4项目效果性指标类</w:t>
      </w:r>
      <w:bookmarkEnd w:id="37"/>
      <w:bookmarkEnd w:id="38"/>
    </w:p>
    <w:p>
      <w:pPr>
        <w:spacing w:line="560" w:lineRule="exact"/>
        <w:ind w:firstLine="560"/>
        <w:jc w:val="left"/>
        <w:rPr>
          <w:rFonts w:ascii="仿宋" w:hAnsi="仿宋" w:eastAsia="仿宋" w:cs="仿宋"/>
          <w:sz w:val="32"/>
          <w:szCs w:val="32"/>
        </w:rPr>
      </w:pPr>
      <w:r>
        <w:rPr>
          <w:rFonts w:hint="eastAsia" w:ascii="仿宋" w:hAnsi="仿宋" w:eastAsia="仿宋" w:cs="仿宋"/>
          <w:sz w:val="32"/>
          <w:szCs w:val="32"/>
        </w:rPr>
        <w:t>效果性指标类由2个二级指标和4个三级指标构成，权重分为</w:t>
      </w:r>
      <w:r>
        <w:rPr>
          <w:rFonts w:hint="eastAsia" w:ascii="仿宋" w:hAnsi="仿宋" w:eastAsia="仿宋" w:cs="仿宋"/>
          <w:color w:val="000000" w:themeColor="text1"/>
          <w:sz w:val="32"/>
          <w:szCs w:val="32"/>
        </w:rPr>
        <w:t>28</w:t>
      </w:r>
      <w:r>
        <w:rPr>
          <w:rFonts w:hint="eastAsia" w:ascii="仿宋" w:hAnsi="仿宋" w:eastAsia="仿宋" w:cs="仿宋"/>
          <w:sz w:val="32"/>
          <w:szCs w:val="32"/>
        </w:rPr>
        <w:t>分，实际得分25分，得分率89.29%。</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D.效果性指标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主要考察项目实施产生的经济效益和社会效益，受助对象的获益程度和满意度，评价项目的可持续影响。</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各指标业绩值和实际得分详见表3-6</w:t>
      </w:r>
    </w:p>
    <w:p>
      <w:pPr>
        <w:rPr>
          <w:rFonts w:ascii="仿宋" w:hAnsi="仿宋" w:eastAsia="仿宋" w:cs="仿宋"/>
          <w:b/>
          <w:bCs/>
          <w:sz w:val="32"/>
          <w:szCs w:val="32"/>
        </w:rPr>
      </w:pPr>
      <w:r>
        <w:rPr>
          <w:rFonts w:hint="eastAsia" w:ascii="仿宋" w:hAnsi="仿宋" w:eastAsia="仿宋" w:cs="仿宋"/>
          <w:b/>
          <w:bCs/>
          <w:sz w:val="32"/>
          <w:szCs w:val="32"/>
        </w:rPr>
        <w:br w:type="page"/>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表3-6 效果性指标评分表</w:t>
      </w:r>
    </w:p>
    <w:tbl>
      <w:tblPr>
        <w:tblStyle w:val="11"/>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8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指标名称</w:t>
            </w:r>
          </w:p>
        </w:tc>
        <w:tc>
          <w:tcPr>
            <w:tcW w:w="1174" w:type="dxa"/>
          </w:tcPr>
          <w:p>
            <w:pPr>
              <w:spacing w:line="400" w:lineRule="exact"/>
              <w:rPr>
                <w:rFonts w:ascii="仿宋" w:hAnsi="仿宋" w:eastAsia="仿宋" w:cs="仿宋"/>
                <w:kern w:val="0"/>
                <w:sz w:val="28"/>
                <w:szCs w:val="28"/>
              </w:rPr>
            </w:pPr>
            <w:r>
              <w:rPr>
                <w:rFonts w:hint="eastAsia" w:ascii="仿宋" w:hAnsi="仿宋" w:eastAsia="仿宋" w:cs="仿宋"/>
                <w:kern w:val="0"/>
                <w:sz w:val="28"/>
                <w:szCs w:val="28"/>
              </w:rPr>
              <w:t>指标</w:t>
            </w:r>
          </w:p>
          <w:p>
            <w:pPr>
              <w:spacing w:line="400" w:lineRule="exact"/>
              <w:rPr>
                <w:rFonts w:ascii="仿宋" w:hAnsi="仿宋" w:eastAsia="仿宋" w:cs="仿宋"/>
                <w:kern w:val="0"/>
                <w:sz w:val="28"/>
                <w:szCs w:val="28"/>
              </w:rPr>
            </w:pPr>
            <w:r>
              <w:rPr>
                <w:rFonts w:hint="eastAsia" w:ascii="仿宋" w:hAnsi="仿宋" w:eastAsia="仿宋" w:cs="仿宋"/>
                <w:kern w:val="0"/>
                <w:sz w:val="28"/>
                <w:szCs w:val="28"/>
              </w:rPr>
              <w:t>权重</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业绩值</w:t>
            </w:r>
          </w:p>
        </w:tc>
        <w:tc>
          <w:tcPr>
            <w:tcW w:w="1228" w:type="dxa"/>
          </w:tcPr>
          <w:p>
            <w:pPr>
              <w:spacing w:line="400" w:lineRule="exact"/>
              <w:rPr>
                <w:rFonts w:ascii="仿宋" w:hAnsi="仿宋" w:eastAsia="仿宋" w:cs="仿宋"/>
                <w:kern w:val="0"/>
                <w:sz w:val="28"/>
                <w:szCs w:val="28"/>
              </w:rPr>
            </w:pPr>
            <w:r>
              <w:rPr>
                <w:rFonts w:hint="eastAsia" w:ascii="仿宋" w:hAnsi="仿宋" w:eastAsia="仿宋" w:cs="仿宋"/>
                <w:kern w:val="0"/>
                <w:sz w:val="28"/>
                <w:szCs w:val="28"/>
              </w:rPr>
              <w:t>实际</w:t>
            </w:r>
          </w:p>
          <w:p>
            <w:pPr>
              <w:spacing w:line="400" w:lineRule="exact"/>
              <w:rPr>
                <w:rFonts w:ascii="仿宋" w:hAnsi="仿宋" w:eastAsia="仿宋" w:cs="仿宋"/>
                <w:kern w:val="0"/>
                <w:sz w:val="28"/>
                <w:szCs w:val="28"/>
              </w:rPr>
            </w:pPr>
            <w:r>
              <w:rPr>
                <w:rFonts w:hint="eastAsia" w:ascii="仿宋" w:hAnsi="仿宋" w:eastAsia="仿宋" w:cs="仿宋"/>
                <w:kern w:val="0"/>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183" w:type="dxa"/>
          </w:tcPr>
          <w:p>
            <w:pPr>
              <w:spacing w:line="400" w:lineRule="exact"/>
              <w:jc w:val="left"/>
              <w:rPr>
                <w:rFonts w:ascii="仿宋" w:hAnsi="仿宋" w:eastAsia="仿宋" w:cs="仿宋"/>
                <w:kern w:val="0"/>
                <w:sz w:val="28"/>
                <w:szCs w:val="28"/>
              </w:rPr>
            </w:pPr>
            <w:r>
              <w:rPr>
                <w:rFonts w:hint="eastAsia" w:ascii="仿宋" w:hAnsi="仿宋" w:eastAsia="仿宋" w:cs="仿宋"/>
                <w:kern w:val="0"/>
                <w:sz w:val="28"/>
                <w:szCs w:val="28"/>
              </w:rPr>
              <w:t>D1 项目效益</w:t>
            </w:r>
          </w:p>
        </w:tc>
        <w:tc>
          <w:tcPr>
            <w:tcW w:w="1174" w:type="dxa"/>
          </w:tcPr>
          <w:p>
            <w:pPr>
              <w:spacing w:line="400" w:lineRule="exact"/>
              <w:ind w:firstLine="360"/>
              <w:jc w:val="center"/>
              <w:rPr>
                <w:rFonts w:ascii="仿宋" w:hAnsi="仿宋" w:eastAsia="仿宋" w:cs="仿宋"/>
                <w:kern w:val="0"/>
                <w:sz w:val="28"/>
                <w:szCs w:val="28"/>
              </w:rPr>
            </w:pPr>
          </w:p>
        </w:tc>
        <w:tc>
          <w:tcPr>
            <w:tcW w:w="1973" w:type="dxa"/>
          </w:tcPr>
          <w:p>
            <w:pPr>
              <w:spacing w:line="400" w:lineRule="exact"/>
              <w:ind w:firstLine="360"/>
              <w:jc w:val="center"/>
              <w:rPr>
                <w:rFonts w:ascii="仿宋" w:hAnsi="仿宋" w:eastAsia="仿宋" w:cs="仿宋"/>
                <w:kern w:val="0"/>
                <w:sz w:val="28"/>
                <w:szCs w:val="28"/>
              </w:rPr>
            </w:pPr>
          </w:p>
        </w:tc>
        <w:tc>
          <w:tcPr>
            <w:tcW w:w="1228" w:type="dxa"/>
          </w:tcPr>
          <w:p>
            <w:pPr>
              <w:spacing w:line="40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83" w:type="dxa"/>
          </w:tcPr>
          <w:p>
            <w:pPr>
              <w:spacing w:line="40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D1.1经济效益</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达标</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83" w:type="dxa"/>
          </w:tcPr>
          <w:p>
            <w:pPr>
              <w:spacing w:line="400" w:lineRule="exact"/>
              <w:jc w:val="left"/>
              <w:rPr>
                <w:rFonts w:ascii="仿宋" w:hAnsi="仿宋" w:eastAsia="仿宋" w:cs="仿宋"/>
                <w:kern w:val="0"/>
                <w:sz w:val="28"/>
                <w:szCs w:val="28"/>
              </w:rPr>
            </w:pPr>
            <w:r>
              <w:rPr>
                <w:rFonts w:hint="eastAsia" w:ascii="仿宋" w:hAnsi="仿宋" w:eastAsia="仿宋" w:cs="仿宋"/>
                <w:kern w:val="0"/>
                <w:sz w:val="28"/>
                <w:szCs w:val="28"/>
              </w:rPr>
              <w:t xml:space="preserve"> D1.2社会效益</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推动就业创业质量不高</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83" w:type="dxa"/>
          </w:tcPr>
          <w:p>
            <w:pPr>
              <w:spacing w:line="40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D1.3可持续影响</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基层队伍建设不到位</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83" w:type="dxa"/>
          </w:tcPr>
          <w:p>
            <w:pPr>
              <w:spacing w:line="400" w:lineRule="exact"/>
              <w:jc w:val="left"/>
              <w:rPr>
                <w:rFonts w:ascii="仿宋" w:hAnsi="仿宋" w:eastAsia="仿宋" w:cs="仿宋"/>
                <w:kern w:val="0"/>
                <w:sz w:val="28"/>
                <w:szCs w:val="28"/>
              </w:rPr>
            </w:pPr>
            <w:r>
              <w:rPr>
                <w:rFonts w:hint="eastAsia" w:ascii="仿宋" w:hAnsi="仿宋" w:eastAsia="仿宋" w:cs="仿宋"/>
                <w:kern w:val="0"/>
                <w:sz w:val="28"/>
                <w:szCs w:val="28"/>
              </w:rPr>
              <w:t>D2 满意度</w:t>
            </w:r>
          </w:p>
        </w:tc>
        <w:tc>
          <w:tcPr>
            <w:tcW w:w="1174" w:type="dxa"/>
          </w:tcPr>
          <w:p>
            <w:pPr>
              <w:spacing w:line="400" w:lineRule="exact"/>
              <w:ind w:firstLine="360"/>
              <w:jc w:val="center"/>
              <w:rPr>
                <w:rFonts w:ascii="仿宋" w:hAnsi="仿宋" w:eastAsia="仿宋" w:cs="仿宋"/>
                <w:kern w:val="0"/>
                <w:sz w:val="28"/>
                <w:szCs w:val="28"/>
              </w:rPr>
            </w:pPr>
          </w:p>
        </w:tc>
        <w:tc>
          <w:tcPr>
            <w:tcW w:w="1973" w:type="dxa"/>
          </w:tcPr>
          <w:p>
            <w:pPr>
              <w:spacing w:line="400" w:lineRule="exact"/>
              <w:ind w:firstLine="360"/>
              <w:jc w:val="center"/>
              <w:rPr>
                <w:rFonts w:ascii="仿宋" w:hAnsi="仿宋" w:eastAsia="仿宋" w:cs="仿宋"/>
                <w:kern w:val="0"/>
                <w:sz w:val="28"/>
                <w:szCs w:val="28"/>
              </w:rPr>
            </w:pPr>
          </w:p>
        </w:tc>
        <w:tc>
          <w:tcPr>
            <w:tcW w:w="1228" w:type="dxa"/>
          </w:tcPr>
          <w:p>
            <w:pPr>
              <w:spacing w:line="40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83" w:type="dxa"/>
          </w:tcPr>
          <w:p>
            <w:pPr>
              <w:spacing w:line="40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D2.1 服务对象满意度</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10</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95%</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418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小计</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973" w:type="dxa"/>
          </w:tcPr>
          <w:p>
            <w:pPr>
              <w:spacing w:line="400" w:lineRule="exact"/>
              <w:ind w:firstLine="360"/>
              <w:jc w:val="center"/>
              <w:rPr>
                <w:rFonts w:ascii="仿宋" w:hAnsi="仿宋" w:eastAsia="仿宋" w:cs="仿宋"/>
                <w:kern w:val="0"/>
                <w:sz w:val="28"/>
                <w:szCs w:val="28"/>
              </w:rPr>
            </w:pP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25</w:t>
            </w:r>
          </w:p>
        </w:tc>
      </w:tr>
    </w:tbl>
    <w:p>
      <w:pPr>
        <w:rPr>
          <w:rFonts w:ascii="仿宋" w:hAnsi="仿宋" w:eastAsia="仿宋"/>
          <w:sz w:val="32"/>
          <w:szCs w:val="32"/>
        </w:rPr>
      </w:pPr>
    </w:p>
    <w:p>
      <w:pPr>
        <w:ind w:firstLine="320" w:firstLineChars="100"/>
        <w:rPr>
          <w:rFonts w:ascii="仿宋" w:hAnsi="仿宋" w:eastAsia="仿宋"/>
          <w:sz w:val="32"/>
          <w:szCs w:val="32"/>
        </w:rPr>
      </w:pPr>
      <w:r>
        <w:rPr>
          <w:rFonts w:hint="eastAsia" w:ascii="仿宋" w:hAnsi="仿宋" w:eastAsia="仿宋"/>
          <w:sz w:val="32"/>
          <w:szCs w:val="32"/>
        </w:rPr>
        <w:t>D1  项目效益</w:t>
      </w:r>
    </w:p>
    <w:p>
      <w:pPr>
        <w:ind w:firstLine="320" w:firstLineChars="100"/>
        <w:rPr>
          <w:rFonts w:ascii="仿宋" w:hAnsi="仿宋" w:eastAsia="仿宋"/>
          <w:sz w:val="32"/>
          <w:szCs w:val="32"/>
        </w:rPr>
      </w:pPr>
      <w:r>
        <w:rPr>
          <w:rFonts w:hint="eastAsia" w:ascii="仿宋" w:hAnsi="仿宋" w:eastAsia="仿宋"/>
          <w:sz w:val="32"/>
          <w:szCs w:val="32"/>
        </w:rPr>
        <w:t>D1.1 经济效益</w:t>
      </w:r>
    </w:p>
    <w:p>
      <w:pPr>
        <w:ind w:firstLine="320" w:firstLineChars="100"/>
        <w:rPr>
          <w:rFonts w:ascii="仿宋" w:hAnsi="仿宋" w:eastAsia="仿宋" w:cs="仿宋"/>
          <w:sz w:val="32"/>
          <w:szCs w:val="32"/>
        </w:rPr>
      </w:pPr>
      <w:r>
        <w:rPr>
          <w:rFonts w:hint="eastAsia" w:ascii="仿宋_GB2312" w:hAnsi="仿宋_GB2312" w:eastAsia="仿宋_GB2312" w:cs="仿宋_GB2312"/>
          <w:sz w:val="32"/>
          <w:szCs w:val="32"/>
        </w:rPr>
        <w:t>通过优抚对象及其他退役军人进行了走访慰问，并发放慰问金及物资，在一定程度上改善了优抚对象及其他退役军人的经济状况，助力了困难服务对象的经济脱困</w:t>
      </w:r>
      <w:r>
        <w:rPr>
          <w:rFonts w:hint="eastAsia" w:ascii="仿宋" w:hAnsi="仿宋" w:eastAsia="仿宋" w:cs="仿宋"/>
          <w:sz w:val="32"/>
          <w:szCs w:val="32"/>
        </w:rPr>
        <w:t>。因此，评价认为项目经济效益指标实现目标值。</w:t>
      </w:r>
    </w:p>
    <w:p>
      <w:pPr>
        <w:ind w:firstLine="320" w:firstLineChars="100"/>
        <w:rPr>
          <w:rFonts w:ascii="仿宋" w:hAnsi="仿宋" w:eastAsia="仿宋"/>
          <w:sz w:val="32"/>
          <w:szCs w:val="32"/>
        </w:rPr>
      </w:pPr>
      <w:r>
        <w:rPr>
          <w:rFonts w:hint="eastAsia" w:ascii="仿宋" w:hAnsi="仿宋" w:eastAsia="仿宋" w:cs="仿宋"/>
          <w:sz w:val="32"/>
          <w:szCs w:val="32"/>
        </w:rPr>
        <w:t>该项指标满分6分，根据评分标准得 6分。</w:t>
      </w:r>
    </w:p>
    <w:p>
      <w:pPr>
        <w:ind w:firstLine="320" w:firstLineChars="100"/>
        <w:rPr>
          <w:rFonts w:ascii="仿宋" w:hAnsi="仿宋" w:eastAsia="仿宋"/>
          <w:sz w:val="32"/>
          <w:szCs w:val="32"/>
        </w:rPr>
      </w:pPr>
      <w:r>
        <w:rPr>
          <w:rFonts w:hint="eastAsia" w:ascii="仿宋" w:hAnsi="仿宋" w:eastAsia="仿宋"/>
          <w:sz w:val="32"/>
          <w:szCs w:val="32"/>
        </w:rPr>
        <w:t>D1.2 社会效益</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通过项目实施，引导辖区各行各业为军人军属、退役军人和其他优抚对象提供优先、优质、优待服务，提升了军人军属、退役军人和其他优抚对象荣誉感、获得感、尊崇感，在全社会营造了尊崇军人，关爱退役军人的浓厚氛围。但也存在因为教育培训措施内容较单一、就业技能培训课程时间短、理论多，实效不强等不足，导致推动退役军人就业创业质量不高，取得的社会效益有待提高的问题。因此，评价认为项目社会效益指标未完全实现目标值。</w:t>
      </w:r>
    </w:p>
    <w:p>
      <w:pPr>
        <w:ind w:firstLine="320" w:firstLineChars="100"/>
        <w:rPr>
          <w:rFonts w:ascii="仿宋" w:hAnsi="仿宋" w:eastAsia="仿宋"/>
          <w:sz w:val="32"/>
          <w:szCs w:val="32"/>
        </w:rPr>
      </w:pPr>
      <w:r>
        <w:rPr>
          <w:rFonts w:hint="eastAsia" w:ascii="仿宋" w:hAnsi="仿宋" w:eastAsia="仿宋" w:cs="仿宋"/>
          <w:sz w:val="32"/>
          <w:szCs w:val="32"/>
        </w:rPr>
        <w:t>该项指标满分6分，根据评分标准得4.5分。</w:t>
      </w:r>
    </w:p>
    <w:p>
      <w:pPr>
        <w:ind w:firstLine="320" w:firstLineChars="100"/>
        <w:rPr>
          <w:rFonts w:ascii="仿宋" w:hAnsi="仿宋" w:eastAsia="仿宋"/>
          <w:sz w:val="32"/>
          <w:szCs w:val="32"/>
        </w:rPr>
      </w:pPr>
      <w:r>
        <w:rPr>
          <w:rFonts w:hint="eastAsia" w:ascii="仿宋" w:hAnsi="仿宋" w:eastAsia="仿宋"/>
          <w:sz w:val="32"/>
          <w:szCs w:val="32"/>
        </w:rPr>
        <w:t>D1.3 可持续影响</w:t>
      </w:r>
    </w:p>
    <w:p>
      <w:pPr>
        <w:ind w:firstLine="320" w:firstLineChars="100"/>
        <w:rPr>
          <w:rFonts w:ascii="仿宋" w:hAnsi="仿宋" w:eastAsia="仿宋" w:cs="仿宋"/>
          <w:sz w:val="32"/>
          <w:szCs w:val="32"/>
        </w:rPr>
      </w:pPr>
      <w:r>
        <w:rPr>
          <w:rFonts w:hint="eastAsia" w:ascii="仿宋" w:hAnsi="仿宋" w:eastAsia="仿宋" w:cs="仿宋"/>
          <w:sz w:val="32"/>
          <w:szCs w:val="32"/>
        </w:rPr>
        <w:t>通过项目实施，进一步扩大了各项拥军优属政策的知晓度和影响力，逐步改善营造双拥工作氛围不浓、社会面对双拥工作重视和知晓度不够的状况；通过加强镇、村退役军人服务站点建设，提高了服务水平和服务能力。但由于退役军人服务站专干人员少，流动性大，导致存在不能按期完成优抚工作任务，数据收集不及时等情况。基层队伍建设不到位，人员力量保障不够，是制约工作绩效提升的一个重要因素。因此，评价认为项目可持续影响指标未完全实现目标值。</w:t>
      </w:r>
    </w:p>
    <w:p>
      <w:pPr>
        <w:ind w:firstLine="320" w:firstLineChars="100"/>
        <w:rPr>
          <w:rFonts w:ascii="仿宋" w:hAnsi="仿宋" w:eastAsia="仿宋"/>
          <w:sz w:val="32"/>
          <w:szCs w:val="32"/>
        </w:rPr>
      </w:pPr>
      <w:r>
        <w:rPr>
          <w:rFonts w:hint="eastAsia" w:ascii="仿宋" w:hAnsi="仿宋" w:eastAsia="仿宋" w:cs="仿宋"/>
          <w:sz w:val="32"/>
          <w:szCs w:val="32"/>
        </w:rPr>
        <w:t>该项指标满分6分，根据评分标准得4.5分。</w:t>
      </w:r>
    </w:p>
    <w:p>
      <w:pPr>
        <w:ind w:firstLine="320" w:firstLineChars="100"/>
        <w:rPr>
          <w:rFonts w:ascii="仿宋" w:hAnsi="仿宋" w:eastAsia="仿宋"/>
          <w:sz w:val="32"/>
          <w:szCs w:val="32"/>
        </w:rPr>
      </w:pPr>
      <w:r>
        <w:rPr>
          <w:rFonts w:hint="eastAsia" w:ascii="仿宋" w:hAnsi="仿宋" w:eastAsia="仿宋"/>
          <w:sz w:val="32"/>
          <w:szCs w:val="32"/>
        </w:rPr>
        <w:t>D2满意度</w:t>
      </w:r>
    </w:p>
    <w:p>
      <w:pPr>
        <w:ind w:firstLine="320" w:firstLineChars="100"/>
        <w:rPr>
          <w:rFonts w:ascii="仿宋" w:hAnsi="仿宋" w:eastAsia="仿宋"/>
          <w:sz w:val="32"/>
          <w:szCs w:val="32"/>
        </w:rPr>
      </w:pPr>
      <w:r>
        <w:rPr>
          <w:rFonts w:hint="eastAsia" w:ascii="仿宋" w:hAnsi="仿宋" w:eastAsia="仿宋"/>
          <w:sz w:val="32"/>
          <w:szCs w:val="32"/>
        </w:rPr>
        <w:t>D2.1 服务对象满意度</w:t>
      </w:r>
    </w:p>
    <w:p>
      <w:pPr>
        <w:ind w:firstLine="320" w:firstLineChars="100"/>
        <w:rPr>
          <w:rFonts w:ascii="仿宋" w:hAnsi="仿宋" w:eastAsia="仿宋" w:cs="仿宋"/>
          <w:sz w:val="32"/>
          <w:szCs w:val="32"/>
        </w:rPr>
      </w:pPr>
      <w:r>
        <w:rPr>
          <w:rFonts w:hint="eastAsia" w:ascii="仿宋" w:hAnsi="仿宋" w:eastAsia="仿宋" w:cs="仿宋"/>
          <w:sz w:val="32"/>
          <w:szCs w:val="32"/>
        </w:rPr>
        <w:t>区退役军人服务中心的服务对象满意度设定为90%，实际满意度为95%。</w:t>
      </w:r>
    </w:p>
    <w:p>
      <w:pPr>
        <w:ind w:firstLine="320" w:firstLineChars="100"/>
        <w:rPr>
          <w:rFonts w:ascii="仿宋" w:hAnsi="仿宋" w:eastAsia="仿宋" w:cs="仿宋"/>
          <w:sz w:val="32"/>
          <w:szCs w:val="32"/>
        </w:rPr>
      </w:pPr>
      <w:r>
        <w:rPr>
          <w:rFonts w:hint="eastAsia" w:ascii="仿宋" w:hAnsi="仿宋" w:eastAsia="仿宋" w:cs="仿宋"/>
          <w:sz w:val="32"/>
          <w:szCs w:val="32"/>
        </w:rPr>
        <w:t>因此，评价认为项目满意度指标实现目标值。</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该项指标满分10分，根据评分标准得 10分。</w:t>
      </w:r>
    </w:p>
    <w:p>
      <w:pPr>
        <w:spacing w:line="560" w:lineRule="exact"/>
        <w:jc w:val="left"/>
        <w:outlineLvl w:val="0"/>
        <w:rPr>
          <w:rFonts w:ascii="仿宋" w:hAnsi="仿宋" w:eastAsia="仿宋" w:cs="仿宋"/>
          <w:b/>
          <w:sz w:val="32"/>
          <w:szCs w:val="32"/>
        </w:rPr>
      </w:pPr>
      <w:bookmarkStart w:id="39" w:name="_Toc23664"/>
      <w:bookmarkStart w:id="40" w:name="_Toc32457"/>
      <w:r>
        <w:rPr>
          <w:rFonts w:hint="eastAsia" w:ascii="仿宋" w:hAnsi="仿宋" w:eastAsia="仿宋" w:cs="仿宋"/>
          <w:b/>
          <w:sz w:val="32"/>
          <w:szCs w:val="32"/>
        </w:rPr>
        <w:t>4、 绩效评价结果</w:t>
      </w:r>
      <w:bookmarkEnd w:id="39"/>
      <w:bookmarkEnd w:id="40"/>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本次评价在资料查阅、现场调研及访谈基础上，对赣州蓉江新区2022年退役军人事务及退役军人待遇专项经费项目绩效进行逐项打分、客观评价，等级设为四档：90（含）-100分为优、80（含）-90分为良、60（含）-80分为中等、60分以下为差。最终评分结果：总得分为 90分，绩效评级为“优”。</w:t>
      </w:r>
    </w:p>
    <w:p>
      <w:pPr>
        <w:spacing w:line="56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1"/>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1536"/>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07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指标</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A.决策性指标</w:t>
            </w:r>
          </w:p>
        </w:tc>
        <w:tc>
          <w:tcPr>
            <w:tcW w:w="17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B.管理性指标</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C.产出性指标</w:t>
            </w:r>
          </w:p>
        </w:tc>
        <w:tc>
          <w:tcPr>
            <w:tcW w:w="1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D.效果性指标</w:t>
            </w:r>
          </w:p>
        </w:tc>
        <w:tc>
          <w:tcPr>
            <w:tcW w:w="12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权重</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15</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25</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分值</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13</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25</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得分率</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86.67%</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89.29%</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90%</w:t>
            </w:r>
          </w:p>
        </w:tc>
      </w:tr>
    </w:tbl>
    <w:p>
      <w:pPr>
        <w:spacing w:line="560" w:lineRule="exact"/>
        <w:jc w:val="left"/>
        <w:rPr>
          <w:rFonts w:ascii="仿宋" w:hAnsi="仿宋" w:eastAsia="仿宋" w:cs="仿宋"/>
          <w:b/>
          <w:sz w:val="32"/>
          <w:szCs w:val="32"/>
        </w:rPr>
      </w:pPr>
    </w:p>
    <w:p>
      <w:pPr>
        <w:spacing w:line="560" w:lineRule="exact"/>
        <w:jc w:val="left"/>
        <w:outlineLvl w:val="0"/>
        <w:rPr>
          <w:rFonts w:ascii="仿宋" w:hAnsi="仿宋" w:eastAsia="仿宋" w:cs="仿宋"/>
          <w:b/>
          <w:sz w:val="32"/>
          <w:szCs w:val="32"/>
        </w:rPr>
      </w:pPr>
      <w:bookmarkStart w:id="41" w:name="_Toc29070"/>
      <w:bookmarkStart w:id="42" w:name="_Toc24463"/>
      <w:r>
        <w:rPr>
          <w:rFonts w:hint="eastAsia" w:ascii="仿宋" w:hAnsi="仿宋" w:eastAsia="仿宋" w:cs="仿宋"/>
          <w:b/>
          <w:sz w:val="32"/>
          <w:szCs w:val="32"/>
        </w:rPr>
        <w:t>5、存在的问题</w:t>
      </w:r>
      <w:bookmarkEnd w:id="41"/>
      <w:bookmarkEnd w:id="42"/>
    </w:p>
    <w:p>
      <w:pPr>
        <w:spacing w:line="560" w:lineRule="exact"/>
        <w:ind w:firstLine="573"/>
        <w:jc w:val="left"/>
        <w:outlineLvl w:val="1"/>
        <w:rPr>
          <w:rFonts w:ascii="仿宋" w:hAnsi="仿宋" w:eastAsia="仿宋" w:cs="仿宋"/>
          <w:b/>
          <w:sz w:val="32"/>
          <w:szCs w:val="32"/>
        </w:rPr>
      </w:pPr>
      <w:bookmarkStart w:id="43" w:name="_Toc18992"/>
      <w:bookmarkStart w:id="44" w:name="_Toc19912"/>
      <w:r>
        <w:rPr>
          <w:rFonts w:hint="eastAsia" w:ascii="仿宋" w:hAnsi="仿宋" w:eastAsia="仿宋" w:cs="仿宋"/>
          <w:b/>
          <w:sz w:val="32"/>
          <w:szCs w:val="32"/>
        </w:rPr>
        <w:t>5.1预算绩效管理工作方面存在不足</w:t>
      </w:r>
      <w:bookmarkEnd w:id="43"/>
      <w:bookmarkEnd w:id="44"/>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绩效目标管理工作有待改善，存在绩效指标设立不够明确的情形。编报的绩效目标要能清晰反映项目决策、项目和资金管理、产出和效益；指标内涵应当明确、具体、可衡量，指标值应当科学合理、符合标准。区退役军人服务中心没有对产出所需花费的成本设置目标进行衡量控制，部分目标设置的对应性也不足。</w:t>
      </w:r>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绩效评价管理工作有待改善，存在评价不够规范的情形。预算绩效自评是对预算资金使用情况的信息反馈，是全过程预算绩效管理的重要组成部分。为强化支出责任和效率，区退役军人服务中心在预算项目执行完成后，对预算执行情况以及项目实施效果开展绩效自评。但自评存在相关绩效指标与年初设定的目标不对应、自评完成值没有取得明确固定值等情况。由此可见，绩效评价管理工作有待进一步规范。</w:t>
      </w:r>
    </w:p>
    <w:p>
      <w:pPr>
        <w:spacing w:line="560" w:lineRule="exact"/>
        <w:ind w:firstLine="573"/>
        <w:jc w:val="left"/>
        <w:outlineLvl w:val="1"/>
        <w:rPr>
          <w:rFonts w:ascii="仿宋" w:hAnsi="仿宋" w:eastAsia="仿宋" w:cs="仿宋"/>
          <w:b/>
          <w:sz w:val="32"/>
          <w:szCs w:val="32"/>
        </w:rPr>
      </w:pPr>
      <w:bookmarkStart w:id="45" w:name="_Toc23697"/>
      <w:bookmarkStart w:id="46" w:name="_Toc5709"/>
      <w:r>
        <w:rPr>
          <w:rFonts w:hint="eastAsia" w:ascii="仿宋" w:hAnsi="仿宋" w:eastAsia="仿宋" w:cs="仿宋"/>
          <w:b/>
          <w:sz w:val="32"/>
          <w:szCs w:val="32"/>
        </w:rPr>
        <w:t>5.2项目决策、管理方面存在不足</w:t>
      </w:r>
      <w:bookmarkEnd w:id="45"/>
      <w:bookmarkEnd w:id="46"/>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 xml:space="preserve">项目预算编制的准确性、前瞻性有待进一步提升。由于存在客观原因，预算编制前对人、财、物相关数据，没有及时核对与更新，没有将上级资金纳入预算考量范围，计划执行的项目所需资金没有细化到末节，导致基础信息及数据不够准确。                                                                                                                                                                           </w:t>
      </w:r>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项目资金实际支出的优抚对象休养租车费用和订购双拥杂志、发放优抚对象物价补贴、支付退伍军人日常军事培训费用、购买打印机碳粉和墨水等办公费用支出不符合预算批复。</w:t>
      </w:r>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区退役军人服务中心未建立相关监督检查机制，没有定期或不定期组织对资金发放情况进行专项检查或抽查，项目实施的监督检查存在不足。</w:t>
      </w:r>
    </w:p>
    <w:p>
      <w:pPr>
        <w:spacing w:line="560" w:lineRule="exact"/>
        <w:jc w:val="left"/>
        <w:outlineLvl w:val="0"/>
        <w:rPr>
          <w:rFonts w:ascii="仿宋" w:hAnsi="仿宋" w:eastAsia="仿宋" w:cs="仿宋"/>
          <w:b/>
          <w:sz w:val="32"/>
          <w:szCs w:val="32"/>
        </w:rPr>
      </w:pPr>
      <w:bookmarkStart w:id="47" w:name="_Toc21857"/>
      <w:bookmarkStart w:id="48" w:name="_Toc23569"/>
      <w:r>
        <w:rPr>
          <w:rFonts w:hint="eastAsia" w:ascii="仿宋" w:hAnsi="仿宋" w:eastAsia="仿宋" w:cs="仿宋"/>
          <w:b/>
          <w:sz w:val="32"/>
          <w:szCs w:val="32"/>
        </w:rPr>
        <w:t>6、改进措施和建议</w:t>
      </w:r>
      <w:bookmarkEnd w:id="47"/>
      <w:bookmarkEnd w:id="48"/>
    </w:p>
    <w:p>
      <w:pPr>
        <w:spacing w:line="560" w:lineRule="exact"/>
        <w:ind w:firstLine="570"/>
        <w:jc w:val="left"/>
        <w:outlineLvl w:val="1"/>
        <w:rPr>
          <w:rFonts w:ascii="仿宋" w:hAnsi="仿宋" w:eastAsia="仿宋" w:cs="仿宋"/>
          <w:b/>
          <w:sz w:val="32"/>
          <w:szCs w:val="32"/>
        </w:rPr>
      </w:pPr>
      <w:bookmarkStart w:id="49" w:name="_Toc12373"/>
      <w:bookmarkStart w:id="50" w:name="_Toc6059"/>
      <w:r>
        <w:rPr>
          <w:rFonts w:hint="eastAsia" w:ascii="仿宋" w:hAnsi="仿宋" w:eastAsia="仿宋" w:cs="仿宋"/>
          <w:b/>
          <w:sz w:val="32"/>
          <w:szCs w:val="32"/>
        </w:rPr>
        <w:t>6.1加强预算绩效管理工作、提高绩效管理水平</w:t>
      </w:r>
      <w:bookmarkEnd w:id="49"/>
      <w:bookmarkEnd w:id="50"/>
    </w:p>
    <w:p>
      <w:pPr>
        <w:spacing w:line="560" w:lineRule="exact"/>
        <w:ind w:firstLine="570"/>
        <w:jc w:val="left"/>
        <w:rPr>
          <w:rFonts w:ascii="仿宋" w:hAnsi="仿宋" w:eastAsia="仿宋" w:cs="仿宋"/>
          <w:sz w:val="32"/>
          <w:szCs w:val="32"/>
        </w:rPr>
      </w:pPr>
      <w:r>
        <w:rPr>
          <w:rFonts w:hint="eastAsia" w:ascii="仿宋" w:hAnsi="仿宋" w:eastAsia="仿宋" w:cs="仿宋"/>
          <w:sz w:val="32"/>
          <w:szCs w:val="32"/>
        </w:rPr>
        <w:t>严格按照《预算法》等相关文件要求，进一步强化预算绩效管理工作，切实履行预算绩效管理职责。全方位、全过程、全覆盖实施预算绩效管理的过程中， 进一步强化绩效管理意识，结合财政资金监管的要求，建立和完善项目绩效考核制度，在现有制度体系基础上，突出核心指标，深化、完善绩效指标体系，根据项目的具体情况和实际需求，设置符合一般规则的绩效目标，多维度反映项目预期产出及效果，并按照明确性、可衡量性、可实现性、相关性、时限性等原则衡量绩效目标是否科学、合理的基本原则准确设置，充分保障绩效目标有效达成，发挥预算绩效管理的指引作用；加强对预算绩效管理工作紧迫感和重要性的认识和理解，积极参与各项绩效培训活动，拓宽相关业务人员的预算绩效管理视野，提高绩效管理的工作能力，牢固树立绩效理念，为提升预算管理精细化、科学化水平奠定良好 的基础。</w:t>
      </w:r>
    </w:p>
    <w:p>
      <w:pPr>
        <w:spacing w:line="560" w:lineRule="exact"/>
        <w:ind w:firstLine="570"/>
        <w:jc w:val="left"/>
        <w:outlineLvl w:val="1"/>
        <w:rPr>
          <w:rFonts w:ascii="仿宋" w:hAnsi="仿宋" w:eastAsia="仿宋" w:cs="仿宋"/>
          <w:b/>
          <w:sz w:val="32"/>
          <w:szCs w:val="32"/>
        </w:rPr>
      </w:pPr>
      <w:bookmarkStart w:id="51" w:name="_Toc31279"/>
      <w:bookmarkStart w:id="52" w:name="_Toc13807"/>
      <w:r>
        <w:rPr>
          <w:rFonts w:hint="eastAsia" w:ascii="仿宋" w:hAnsi="仿宋" w:eastAsia="仿宋" w:cs="仿宋"/>
          <w:b/>
          <w:sz w:val="32"/>
          <w:szCs w:val="32"/>
        </w:rPr>
        <w:t>6.2提高预算编制水平、加强项目各环节管控</w:t>
      </w:r>
      <w:bookmarkEnd w:id="51"/>
      <w:bookmarkEnd w:id="52"/>
    </w:p>
    <w:p>
      <w:pPr>
        <w:spacing w:line="560" w:lineRule="exact"/>
        <w:ind w:firstLine="570"/>
        <w:jc w:val="left"/>
        <w:rPr>
          <w:rFonts w:ascii="仿宋" w:hAnsi="仿宋" w:eastAsia="仿宋" w:cs="仿宋"/>
          <w:sz w:val="32"/>
          <w:szCs w:val="32"/>
        </w:rPr>
      </w:pPr>
      <w:r>
        <w:rPr>
          <w:rFonts w:hint="eastAsia" w:ascii="仿宋" w:hAnsi="仿宋" w:eastAsia="仿宋" w:cs="仿宋"/>
          <w:sz w:val="32"/>
          <w:szCs w:val="32"/>
        </w:rPr>
        <w:t>按照项目实施周期，准确编制预算，确保当年预算安排与项目年度实施计划相匹配，确保当年预算当年使用，减少财政资金结转和沉淀；充分做好前期调研工作，如通过实地考察、问卷调查等形式，编制详细的项目申报书，明确进度计划。按照预算、用款计划、项目进度、有关合同和规定程序及时办理资金请款申请，推进预算绩效管理工作，强化支出责任和效率意识。</w:t>
      </w:r>
    </w:p>
    <w:p>
      <w:pPr>
        <w:spacing w:line="560" w:lineRule="exact"/>
        <w:jc w:val="left"/>
        <w:outlineLvl w:val="0"/>
        <w:rPr>
          <w:rFonts w:ascii="仿宋" w:hAnsi="仿宋" w:eastAsia="仿宋" w:cs="仿宋"/>
          <w:b/>
          <w:sz w:val="32"/>
          <w:szCs w:val="32"/>
        </w:rPr>
      </w:pPr>
      <w:bookmarkStart w:id="53" w:name="_Toc16561"/>
      <w:bookmarkStart w:id="54" w:name="_Toc19421"/>
      <w:r>
        <w:rPr>
          <w:rFonts w:hint="eastAsia" w:ascii="仿宋" w:hAnsi="仿宋" w:eastAsia="仿宋" w:cs="仿宋"/>
          <w:b/>
          <w:sz w:val="32"/>
          <w:szCs w:val="32"/>
        </w:rPr>
        <w:t>7、其他事项说明</w:t>
      </w:r>
      <w:bookmarkEnd w:id="53"/>
      <w:bookmarkEnd w:id="54"/>
      <w:r>
        <w:rPr>
          <w:rFonts w:hint="eastAsia" w:ascii="仿宋" w:hAnsi="仿宋" w:eastAsia="仿宋" w:cs="仿宋"/>
          <w:b/>
          <w:sz w:val="32"/>
          <w:szCs w:val="32"/>
        </w:rPr>
        <w:t xml:space="preserve"> </w:t>
      </w:r>
    </w:p>
    <w:p>
      <w:pPr>
        <w:ind w:firstLine="640" w:firstLineChars="200"/>
        <w:rPr>
          <w:rFonts w:ascii="仿宋" w:hAnsi="仿宋" w:eastAsia="仿宋" w:cs="仿宋"/>
          <w:sz w:val="32"/>
          <w:szCs w:val="32"/>
        </w:rPr>
      </w:pPr>
      <w:r>
        <w:rPr>
          <w:rFonts w:hint="eastAsia" w:ascii="仿宋" w:hAnsi="仿宋" w:eastAsia="仿宋" w:cs="仿宋"/>
          <w:sz w:val="32"/>
          <w:szCs w:val="32"/>
        </w:rPr>
        <w:t>7.1本绩效评价报告是在项目实施单位提供资料的基础上形成的。</w:t>
      </w:r>
    </w:p>
    <w:p>
      <w:pPr>
        <w:spacing w:line="560" w:lineRule="exact"/>
        <w:ind w:firstLine="560"/>
        <w:jc w:val="left"/>
        <w:rPr>
          <w:rFonts w:ascii="仿宋" w:hAnsi="仿宋" w:eastAsia="仿宋" w:cs="仿宋"/>
          <w:sz w:val="32"/>
          <w:szCs w:val="32"/>
        </w:rPr>
      </w:pPr>
      <w:r>
        <w:rPr>
          <w:rFonts w:hint="eastAsia" w:ascii="仿宋" w:hAnsi="仿宋" w:eastAsia="仿宋" w:cs="仿宋"/>
          <w:sz w:val="32"/>
          <w:szCs w:val="32"/>
        </w:rPr>
        <w:t>7.2本绩效评价报告仅供赣州蓉江新区财政局开展“赣州蓉江新区2022年退役军人事务及退役军人待遇专项经费项目”绩效评价相关工作使用，不作他用。</w:t>
      </w:r>
    </w:p>
    <w:p>
      <w:pPr>
        <w:ind w:firstLine="280" w:firstLineChars="100"/>
        <w:rPr>
          <w:rFonts w:ascii="仿宋" w:hAnsi="仿宋" w:eastAsia="仿宋"/>
          <w:sz w:val="28"/>
          <w:szCs w:val="28"/>
        </w:rPr>
      </w:pPr>
    </w:p>
    <w:p>
      <w:pPr>
        <w:ind w:firstLine="280" w:firstLineChars="100"/>
        <w:rPr>
          <w:rFonts w:ascii="仿宋" w:hAnsi="仿宋" w:eastAsia="仿宋"/>
          <w:sz w:val="28"/>
          <w:szCs w:val="28"/>
        </w:rPr>
      </w:pPr>
    </w:p>
    <w:p>
      <w:pPr>
        <w:ind w:firstLine="2240" w:firstLineChars="700"/>
        <w:jc w:val="right"/>
        <w:rPr>
          <w:rFonts w:ascii="仿宋_GB2312" w:hAnsi="Times New Roman" w:eastAsia="仿宋_GB2312" w:cs="Times New Roman"/>
          <w:sz w:val="32"/>
          <w:szCs w:val="32"/>
        </w:rPr>
      </w:pPr>
      <w:r>
        <w:rPr>
          <w:rFonts w:hint="eastAsia" w:ascii="仿宋_GB2312" w:hAnsi="Times New Roman" w:eastAsia="仿宋_GB2312" w:cs="Times New Roman"/>
          <w:sz w:val="32"/>
          <w:szCs w:val="32"/>
        </w:rPr>
        <w:t>国众联资产评估土地房地产估价有限公司</w:t>
      </w:r>
    </w:p>
    <w:p>
      <w:pPr>
        <w:ind w:firstLine="5440" w:firstLineChars="1700"/>
        <w:jc w:val="right"/>
        <w:rPr>
          <w:rFonts w:ascii="仿宋_GB2312" w:hAnsi="Times New Roman" w:eastAsia="仿宋_GB2312" w:cs="Times New Roman"/>
          <w:sz w:val="32"/>
          <w:szCs w:val="32"/>
        </w:rPr>
      </w:pPr>
      <w:r>
        <w:rPr>
          <w:rFonts w:hint="eastAsia" w:ascii="仿宋_GB2312" w:hAnsi="Times New Roman" w:eastAsia="仿宋_GB2312" w:cs="Times New Roman"/>
          <w:sz w:val="32"/>
          <w:szCs w:val="32"/>
        </w:rPr>
        <w:t>202</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年1</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月</w:t>
      </w:r>
      <w:r>
        <w:rPr>
          <w:rFonts w:hint="eastAsia" w:ascii="仿宋_GB2312" w:hAnsi="Times New Roman" w:eastAsia="仿宋_GB2312" w:cs="Times New Roman"/>
          <w:sz w:val="32"/>
          <w:szCs w:val="32"/>
          <w:lang w:val="en-US" w:eastAsia="zh-CN"/>
        </w:rPr>
        <w:t>31</w:t>
      </w:r>
      <w:bookmarkStart w:id="55" w:name="_GoBack"/>
      <w:bookmarkEnd w:id="55"/>
      <w:r>
        <w:rPr>
          <w:rFonts w:hint="eastAsia" w:ascii="仿宋_GB2312" w:hAnsi="Times New Roman" w:eastAsia="仿宋_GB2312" w:cs="Times New Roman"/>
          <w:sz w:val="32"/>
          <w:szCs w:val="32"/>
        </w:rPr>
        <w:t>日</w:t>
      </w:r>
    </w:p>
    <w:p>
      <w:pPr>
        <w:rPr>
          <w:rFonts w:ascii="仿宋" w:hAnsi="仿宋" w:eastAsia="仿宋"/>
          <w:sz w:val="28"/>
          <w:szCs w:val="28"/>
        </w:rPr>
      </w:pPr>
    </w:p>
    <w:sectPr>
      <w:footerReference r:id="rId6" w:type="first"/>
      <w:footerReference r:id="rId5" w:type="default"/>
      <w:pgSz w:w="11906" w:h="16838"/>
      <w:pgMar w:top="1440" w:right="1474" w:bottom="1440" w:left="147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r>
      <w:rPr>
        <w:rFonts w:hint="eastAsia"/>
      </w:rPr>
      <w:t>赣州蓉江新区2022年退役军人事务及退役军人待遇专项经费项目支出绩效评价报告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I0MWIwZjg5ODFkNjdjN2ZkM2E5YTZlZmJlNDNiZjAifQ=="/>
  </w:docVars>
  <w:rsids>
    <w:rsidRoot w:val="003E6AC9"/>
    <w:rsid w:val="00000993"/>
    <w:rsid w:val="00000C5C"/>
    <w:rsid w:val="00000F17"/>
    <w:rsid w:val="00003093"/>
    <w:rsid w:val="00006FA9"/>
    <w:rsid w:val="00007048"/>
    <w:rsid w:val="00010471"/>
    <w:rsid w:val="00010E2E"/>
    <w:rsid w:val="00013E22"/>
    <w:rsid w:val="00015235"/>
    <w:rsid w:val="00015EF6"/>
    <w:rsid w:val="00016B53"/>
    <w:rsid w:val="00017E5B"/>
    <w:rsid w:val="00017EC5"/>
    <w:rsid w:val="0002060F"/>
    <w:rsid w:val="000211FB"/>
    <w:rsid w:val="000213DE"/>
    <w:rsid w:val="000216FC"/>
    <w:rsid w:val="00022FC5"/>
    <w:rsid w:val="00022FCF"/>
    <w:rsid w:val="00024802"/>
    <w:rsid w:val="0002572B"/>
    <w:rsid w:val="00026CAA"/>
    <w:rsid w:val="0002702D"/>
    <w:rsid w:val="000342F5"/>
    <w:rsid w:val="00034586"/>
    <w:rsid w:val="00035EEF"/>
    <w:rsid w:val="000361F4"/>
    <w:rsid w:val="00036CBF"/>
    <w:rsid w:val="00040D8E"/>
    <w:rsid w:val="00042EC7"/>
    <w:rsid w:val="000447FC"/>
    <w:rsid w:val="00044A17"/>
    <w:rsid w:val="0004516C"/>
    <w:rsid w:val="00045E90"/>
    <w:rsid w:val="000465CE"/>
    <w:rsid w:val="0004698F"/>
    <w:rsid w:val="00047148"/>
    <w:rsid w:val="00047377"/>
    <w:rsid w:val="00047842"/>
    <w:rsid w:val="000507FE"/>
    <w:rsid w:val="00050EB6"/>
    <w:rsid w:val="00051A19"/>
    <w:rsid w:val="00052089"/>
    <w:rsid w:val="0005316D"/>
    <w:rsid w:val="00053F93"/>
    <w:rsid w:val="00054439"/>
    <w:rsid w:val="00054A1C"/>
    <w:rsid w:val="00054BB9"/>
    <w:rsid w:val="00055A85"/>
    <w:rsid w:val="000562FE"/>
    <w:rsid w:val="000604BA"/>
    <w:rsid w:val="000605AD"/>
    <w:rsid w:val="00060ACB"/>
    <w:rsid w:val="00061645"/>
    <w:rsid w:val="0006247E"/>
    <w:rsid w:val="00062ACA"/>
    <w:rsid w:val="000643DF"/>
    <w:rsid w:val="0006455E"/>
    <w:rsid w:val="000656B8"/>
    <w:rsid w:val="00065EEF"/>
    <w:rsid w:val="00067EDB"/>
    <w:rsid w:val="00067FD4"/>
    <w:rsid w:val="00072F36"/>
    <w:rsid w:val="00073C81"/>
    <w:rsid w:val="00073E18"/>
    <w:rsid w:val="000742A1"/>
    <w:rsid w:val="000746B8"/>
    <w:rsid w:val="00074A0C"/>
    <w:rsid w:val="00074C59"/>
    <w:rsid w:val="00074D47"/>
    <w:rsid w:val="00076980"/>
    <w:rsid w:val="00076AEF"/>
    <w:rsid w:val="00077042"/>
    <w:rsid w:val="000801C4"/>
    <w:rsid w:val="00080612"/>
    <w:rsid w:val="00082918"/>
    <w:rsid w:val="000841E7"/>
    <w:rsid w:val="000847DF"/>
    <w:rsid w:val="00087608"/>
    <w:rsid w:val="000876EF"/>
    <w:rsid w:val="00087741"/>
    <w:rsid w:val="0009094B"/>
    <w:rsid w:val="000909F4"/>
    <w:rsid w:val="00090A71"/>
    <w:rsid w:val="00092299"/>
    <w:rsid w:val="00093CFC"/>
    <w:rsid w:val="00094098"/>
    <w:rsid w:val="000954D5"/>
    <w:rsid w:val="000974C8"/>
    <w:rsid w:val="00097EC2"/>
    <w:rsid w:val="000A17FF"/>
    <w:rsid w:val="000A1EF6"/>
    <w:rsid w:val="000A21A2"/>
    <w:rsid w:val="000A2BF8"/>
    <w:rsid w:val="000A39A6"/>
    <w:rsid w:val="000A3E21"/>
    <w:rsid w:val="000A6717"/>
    <w:rsid w:val="000A6FC4"/>
    <w:rsid w:val="000A73C3"/>
    <w:rsid w:val="000B0EAF"/>
    <w:rsid w:val="000B1F31"/>
    <w:rsid w:val="000B200B"/>
    <w:rsid w:val="000B3F53"/>
    <w:rsid w:val="000B458A"/>
    <w:rsid w:val="000B4CE2"/>
    <w:rsid w:val="000C096C"/>
    <w:rsid w:val="000C2138"/>
    <w:rsid w:val="000C2903"/>
    <w:rsid w:val="000C3059"/>
    <w:rsid w:val="000C34AC"/>
    <w:rsid w:val="000C4DD3"/>
    <w:rsid w:val="000C56E7"/>
    <w:rsid w:val="000C580A"/>
    <w:rsid w:val="000C6232"/>
    <w:rsid w:val="000C7049"/>
    <w:rsid w:val="000C7C66"/>
    <w:rsid w:val="000D06B4"/>
    <w:rsid w:val="000D3327"/>
    <w:rsid w:val="000D37C7"/>
    <w:rsid w:val="000D3858"/>
    <w:rsid w:val="000D57C5"/>
    <w:rsid w:val="000D75A9"/>
    <w:rsid w:val="000D7DE4"/>
    <w:rsid w:val="000E1230"/>
    <w:rsid w:val="000E131A"/>
    <w:rsid w:val="000E2044"/>
    <w:rsid w:val="000E2068"/>
    <w:rsid w:val="000E20BE"/>
    <w:rsid w:val="000E367D"/>
    <w:rsid w:val="000E3E05"/>
    <w:rsid w:val="000E42E5"/>
    <w:rsid w:val="000E4414"/>
    <w:rsid w:val="000E586C"/>
    <w:rsid w:val="000E5CB4"/>
    <w:rsid w:val="000E7C4C"/>
    <w:rsid w:val="000F0F7E"/>
    <w:rsid w:val="000F1884"/>
    <w:rsid w:val="000F20CF"/>
    <w:rsid w:val="000F492E"/>
    <w:rsid w:val="000F75C4"/>
    <w:rsid w:val="000F7A99"/>
    <w:rsid w:val="001008C5"/>
    <w:rsid w:val="00100916"/>
    <w:rsid w:val="00101F23"/>
    <w:rsid w:val="001028B3"/>
    <w:rsid w:val="0010337B"/>
    <w:rsid w:val="0010407E"/>
    <w:rsid w:val="00105C79"/>
    <w:rsid w:val="00107729"/>
    <w:rsid w:val="00107C70"/>
    <w:rsid w:val="00107FCF"/>
    <w:rsid w:val="00110AE7"/>
    <w:rsid w:val="00110EC6"/>
    <w:rsid w:val="00110FF4"/>
    <w:rsid w:val="00112806"/>
    <w:rsid w:val="001134DC"/>
    <w:rsid w:val="001138B5"/>
    <w:rsid w:val="00113A1E"/>
    <w:rsid w:val="00113E31"/>
    <w:rsid w:val="0011699A"/>
    <w:rsid w:val="0011783B"/>
    <w:rsid w:val="0011784E"/>
    <w:rsid w:val="001178EF"/>
    <w:rsid w:val="00117B39"/>
    <w:rsid w:val="0012003C"/>
    <w:rsid w:val="00121596"/>
    <w:rsid w:val="00122686"/>
    <w:rsid w:val="00123059"/>
    <w:rsid w:val="00125649"/>
    <w:rsid w:val="0012613E"/>
    <w:rsid w:val="00126F13"/>
    <w:rsid w:val="00130097"/>
    <w:rsid w:val="00132A42"/>
    <w:rsid w:val="00132D6C"/>
    <w:rsid w:val="00134488"/>
    <w:rsid w:val="00134803"/>
    <w:rsid w:val="001358B8"/>
    <w:rsid w:val="00137346"/>
    <w:rsid w:val="00140A0E"/>
    <w:rsid w:val="00141DFD"/>
    <w:rsid w:val="00141F8B"/>
    <w:rsid w:val="00143AF1"/>
    <w:rsid w:val="00143CC0"/>
    <w:rsid w:val="00143CE6"/>
    <w:rsid w:val="00146E13"/>
    <w:rsid w:val="00147068"/>
    <w:rsid w:val="00147075"/>
    <w:rsid w:val="001472C6"/>
    <w:rsid w:val="001475D1"/>
    <w:rsid w:val="00151697"/>
    <w:rsid w:val="00151A0B"/>
    <w:rsid w:val="00152F8A"/>
    <w:rsid w:val="00154A51"/>
    <w:rsid w:val="00154B47"/>
    <w:rsid w:val="00154BE7"/>
    <w:rsid w:val="0015659C"/>
    <w:rsid w:val="0015759A"/>
    <w:rsid w:val="0015768D"/>
    <w:rsid w:val="00160D27"/>
    <w:rsid w:val="00162692"/>
    <w:rsid w:val="001632CD"/>
    <w:rsid w:val="001660BA"/>
    <w:rsid w:val="001663E6"/>
    <w:rsid w:val="00167753"/>
    <w:rsid w:val="00167E6F"/>
    <w:rsid w:val="00171520"/>
    <w:rsid w:val="001724E2"/>
    <w:rsid w:val="00172BD8"/>
    <w:rsid w:val="00176731"/>
    <w:rsid w:val="00176BCE"/>
    <w:rsid w:val="00177013"/>
    <w:rsid w:val="0018035F"/>
    <w:rsid w:val="001826FD"/>
    <w:rsid w:val="00183022"/>
    <w:rsid w:val="0018660A"/>
    <w:rsid w:val="00186BD3"/>
    <w:rsid w:val="00187EED"/>
    <w:rsid w:val="00191F87"/>
    <w:rsid w:val="00194AC6"/>
    <w:rsid w:val="00194B9B"/>
    <w:rsid w:val="00195E00"/>
    <w:rsid w:val="00197568"/>
    <w:rsid w:val="001A09F7"/>
    <w:rsid w:val="001A3210"/>
    <w:rsid w:val="001A3281"/>
    <w:rsid w:val="001A359B"/>
    <w:rsid w:val="001A38D1"/>
    <w:rsid w:val="001A3A8A"/>
    <w:rsid w:val="001A4822"/>
    <w:rsid w:val="001A524E"/>
    <w:rsid w:val="001A5E15"/>
    <w:rsid w:val="001A63FF"/>
    <w:rsid w:val="001A6CE3"/>
    <w:rsid w:val="001A6EF4"/>
    <w:rsid w:val="001A73EA"/>
    <w:rsid w:val="001A7948"/>
    <w:rsid w:val="001B1F63"/>
    <w:rsid w:val="001B1FF5"/>
    <w:rsid w:val="001B3104"/>
    <w:rsid w:val="001B355B"/>
    <w:rsid w:val="001B3FAE"/>
    <w:rsid w:val="001B43BE"/>
    <w:rsid w:val="001B572E"/>
    <w:rsid w:val="001B5EDF"/>
    <w:rsid w:val="001B741B"/>
    <w:rsid w:val="001B7948"/>
    <w:rsid w:val="001B7BED"/>
    <w:rsid w:val="001B7E05"/>
    <w:rsid w:val="001C086B"/>
    <w:rsid w:val="001C0A86"/>
    <w:rsid w:val="001C0CC1"/>
    <w:rsid w:val="001C1493"/>
    <w:rsid w:val="001C1BD5"/>
    <w:rsid w:val="001C2C10"/>
    <w:rsid w:val="001C38F8"/>
    <w:rsid w:val="001C4EAC"/>
    <w:rsid w:val="001D0DE4"/>
    <w:rsid w:val="001D101B"/>
    <w:rsid w:val="001D138C"/>
    <w:rsid w:val="001D384D"/>
    <w:rsid w:val="001D3BCF"/>
    <w:rsid w:val="001D4743"/>
    <w:rsid w:val="001D51B0"/>
    <w:rsid w:val="001D5A2D"/>
    <w:rsid w:val="001D6AAF"/>
    <w:rsid w:val="001D7E12"/>
    <w:rsid w:val="001E01A4"/>
    <w:rsid w:val="001E1462"/>
    <w:rsid w:val="001E298F"/>
    <w:rsid w:val="001E31E7"/>
    <w:rsid w:val="001E3BB5"/>
    <w:rsid w:val="001E48FC"/>
    <w:rsid w:val="001E5614"/>
    <w:rsid w:val="001E5B5C"/>
    <w:rsid w:val="001E7090"/>
    <w:rsid w:val="001F0EA1"/>
    <w:rsid w:val="001F18D5"/>
    <w:rsid w:val="001F24EC"/>
    <w:rsid w:val="001F2BB5"/>
    <w:rsid w:val="001F388F"/>
    <w:rsid w:val="001F3AB8"/>
    <w:rsid w:val="001F6428"/>
    <w:rsid w:val="001F6F88"/>
    <w:rsid w:val="001F781B"/>
    <w:rsid w:val="00200CED"/>
    <w:rsid w:val="00200DD1"/>
    <w:rsid w:val="00204DB6"/>
    <w:rsid w:val="0020505A"/>
    <w:rsid w:val="00210409"/>
    <w:rsid w:val="002105F0"/>
    <w:rsid w:val="00212821"/>
    <w:rsid w:val="00217D81"/>
    <w:rsid w:val="00220C99"/>
    <w:rsid w:val="00221AFD"/>
    <w:rsid w:val="00222992"/>
    <w:rsid w:val="002232C0"/>
    <w:rsid w:val="00223950"/>
    <w:rsid w:val="002239D2"/>
    <w:rsid w:val="00224636"/>
    <w:rsid w:val="0022539D"/>
    <w:rsid w:val="00225A4B"/>
    <w:rsid w:val="00225CAE"/>
    <w:rsid w:val="00226889"/>
    <w:rsid w:val="002273CC"/>
    <w:rsid w:val="00230F76"/>
    <w:rsid w:val="00233846"/>
    <w:rsid w:val="00234096"/>
    <w:rsid w:val="002404F7"/>
    <w:rsid w:val="00242276"/>
    <w:rsid w:val="00242A21"/>
    <w:rsid w:val="00244B53"/>
    <w:rsid w:val="00244ED8"/>
    <w:rsid w:val="00245448"/>
    <w:rsid w:val="00245F35"/>
    <w:rsid w:val="0024653F"/>
    <w:rsid w:val="00246D4F"/>
    <w:rsid w:val="002506FB"/>
    <w:rsid w:val="00251084"/>
    <w:rsid w:val="002515BC"/>
    <w:rsid w:val="002522FE"/>
    <w:rsid w:val="00252D8D"/>
    <w:rsid w:val="0025465A"/>
    <w:rsid w:val="00256672"/>
    <w:rsid w:val="002567EE"/>
    <w:rsid w:val="00256A3E"/>
    <w:rsid w:val="00260767"/>
    <w:rsid w:val="0026204E"/>
    <w:rsid w:val="002627AA"/>
    <w:rsid w:val="00265A98"/>
    <w:rsid w:val="00266311"/>
    <w:rsid w:val="00267888"/>
    <w:rsid w:val="0027286B"/>
    <w:rsid w:val="00273BF5"/>
    <w:rsid w:val="002818C1"/>
    <w:rsid w:val="00282B7C"/>
    <w:rsid w:val="002833B1"/>
    <w:rsid w:val="002842A9"/>
    <w:rsid w:val="00285CB6"/>
    <w:rsid w:val="002860F0"/>
    <w:rsid w:val="00287342"/>
    <w:rsid w:val="00290BD5"/>
    <w:rsid w:val="00290E32"/>
    <w:rsid w:val="0029172C"/>
    <w:rsid w:val="00291C3B"/>
    <w:rsid w:val="00291F3B"/>
    <w:rsid w:val="00292CF4"/>
    <w:rsid w:val="002971FF"/>
    <w:rsid w:val="00297F8B"/>
    <w:rsid w:val="002A0470"/>
    <w:rsid w:val="002A077B"/>
    <w:rsid w:val="002A2E8D"/>
    <w:rsid w:val="002A31C0"/>
    <w:rsid w:val="002A4794"/>
    <w:rsid w:val="002A5ECD"/>
    <w:rsid w:val="002A70A8"/>
    <w:rsid w:val="002A73B0"/>
    <w:rsid w:val="002A7992"/>
    <w:rsid w:val="002B1377"/>
    <w:rsid w:val="002B22E1"/>
    <w:rsid w:val="002B3429"/>
    <w:rsid w:val="002B4602"/>
    <w:rsid w:val="002C044D"/>
    <w:rsid w:val="002C0EB7"/>
    <w:rsid w:val="002C202A"/>
    <w:rsid w:val="002C2553"/>
    <w:rsid w:val="002C3100"/>
    <w:rsid w:val="002C551A"/>
    <w:rsid w:val="002C581E"/>
    <w:rsid w:val="002C5E82"/>
    <w:rsid w:val="002D0445"/>
    <w:rsid w:val="002D165B"/>
    <w:rsid w:val="002D1C25"/>
    <w:rsid w:val="002D21B7"/>
    <w:rsid w:val="002D331D"/>
    <w:rsid w:val="002D37B6"/>
    <w:rsid w:val="002D50DA"/>
    <w:rsid w:val="002D5C9B"/>
    <w:rsid w:val="002E11F1"/>
    <w:rsid w:val="002E182F"/>
    <w:rsid w:val="002E394D"/>
    <w:rsid w:val="002E3D90"/>
    <w:rsid w:val="002E4045"/>
    <w:rsid w:val="002E4318"/>
    <w:rsid w:val="002E5444"/>
    <w:rsid w:val="002F1671"/>
    <w:rsid w:val="002F1B74"/>
    <w:rsid w:val="002F20F7"/>
    <w:rsid w:val="002F213C"/>
    <w:rsid w:val="002F283C"/>
    <w:rsid w:val="002F3DB9"/>
    <w:rsid w:val="002F459A"/>
    <w:rsid w:val="002F4E85"/>
    <w:rsid w:val="002F53D0"/>
    <w:rsid w:val="002F58AE"/>
    <w:rsid w:val="00300633"/>
    <w:rsid w:val="00300C6C"/>
    <w:rsid w:val="00302662"/>
    <w:rsid w:val="00302D5C"/>
    <w:rsid w:val="00305514"/>
    <w:rsid w:val="00306592"/>
    <w:rsid w:val="00307810"/>
    <w:rsid w:val="00310546"/>
    <w:rsid w:val="0031348A"/>
    <w:rsid w:val="00313D1A"/>
    <w:rsid w:val="00314CE4"/>
    <w:rsid w:val="00317F1B"/>
    <w:rsid w:val="003237C5"/>
    <w:rsid w:val="00325B03"/>
    <w:rsid w:val="00327A4E"/>
    <w:rsid w:val="00327AD2"/>
    <w:rsid w:val="00331B8A"/>
    <w:rsid w:val="00332D81"/>
    <w:rsid w:val="00333BF4"/>
    <w:rsid w:val="00334EFE"/>
    <w:rsid w:val="0033635A"/>
    <w:rsid w:val="00336691"/>
    <w:rsid w:val="00336AA5"/>
    <w:rsid w:val="00337D23"/>
    <w:rsid w:val="00342A05"/>
    <w:rsid w:val="00343385"/>
    <w:rsid w:val="00343862"/>
    <w:rsid w:val="00344A89"/>
    <w:rsid w:val="00345F37"/>
    <w:rsid w:val="00346385"/>
    <w:rsid w:val="00347250"/>
    <w:rsid w:val="003478E1"/>
    <w:rsid w:val="00352F1C"/>
    <w:rsid w:val="00353DD8"/>
    <w:rsid w:val="003551D7"/>
    <w:rsid w:val="0035533B"/>
    <w:rsid w:val="00355786"/>
    <w:rsid w:val="003563C0"/>
    <w:rsid w:val="00356709"/>
    <w:rsid w:val="00357263"/>
    <w:rsid w:val="0035798D"/>
    <w:rsid w:val="0036069B"/>
    <w:rsid w:val="00360C87"/>
    <w:rsid w:val="0036327B"/>
    <w:rsid w:val="0036327D"/>
    <w:rsid w:val="00363919"/>
    <w:rsid w:val="00363A2D"/>
    <w:rsid w:val="00364A91"/>
    <w:rsid w:val="00366D5A"/>
    <w:rsid w:val="00371CD8"/>
    <w:rsid w:val="00372AD0"/>
    <w:rsid w:val="00372FE3"/>
    <w:rsid w:val="00375942"/>
    <w:rsid w:val="00376E15"/>
    <w:rsid w:val="00376ECA"/>
    <w:rsid w:val="00377A48"/>
    <w:rsid w:val="003804E4"/>
    <w:rsid w:val="00380FA8"/>
    <w:rsid w:val="00381C37"/>
    <w:rsid w:val="0038216F"/>
    <w:rsid w:val="00382788"/>
    <w:rsid w:val="00384EAF"/>
    <w:rsid w:val="003862F8"/>
    <w:rsid w:val="0038641B"/>
    <w:rsid w:val="00386911"/>
    <w:rsid w:val="00386DA0"/>
    <w:rsid w:val="003873B4"/>
    <w:rsid w:val="00387742"/>
    <w:rsid w:val="0038782A"/>
    <w:rsid w:val="00390DD3"/>
    <w:rsid w:val="00391699"/>
    <w:rsid w:val="00391A04"/>
    <w:rsid w:val="00392603"/>
    <w:rsid w:val="00392652"/>
    <w:rsid w:val="00392F47"/>
    <w:rsid w:val="00393775"/>
    <w:rsid w:val="00393870"/>
    <w:rsid w:val="00394958"/>
    <w:rsid w:val="0039588A"/>
    <w:rsid w:val="00397651"/>
    <w:rsid w:val="003A2947"/>
    <w:rsid w:val="003A313A"/>
    <w:rsid w:val="003A3693"/>
    <w:rsid w:val="003A43B9"/>
    <w:rsid w:val="003A43EA"/>
    <w:rsid w:val="003A5B89"/>
    <w:rsid w:val="003A6777"/>
    <w:rsid w:val="003A7BAE"/>
    <w:rsid w:val="003B0F34"/>
    <w:rsid w:val="003B0F89"/>
    <w:rsid w:val="003B1934"/>
    <w:rsid w:val="003B211D"/>
    <w:rsid w:val="003B3C2C"/>
    <w:rsid w:val="003B57CF"/>
    <w:rsid w:val="003B591A"/>
    <w:rsid w:val="003B5AD7"/>
    <w:rsid w:val="003B7400"/>
    <w:rsid w:val="003B750C"/>
    <w:rsid w:val="003C21F6"/>
    <w:rsid w:val="003C2327"/>
    <w:rsid w:val="003C350A"/>
    <w:rsid w:val="003C5574"/>
    <w:rsid w:val="003C77B3"/>
    <w:rsid w:val="003D0F5B"/>
    <w:rsid w:val="003D11C7"/>
    <w:rsid w:val="003D1302"/>
    <w:rsid w:val="003D1707"/>
    <w:rsid w:val="003D3C1D"/>
    <w:rsid w:val="003D5EA2"/>
    <w:rsid w:val="003D6DED"/>
    <w:rsid w:val="003D7045"/>
    <w:rsid w:val="003D779F"/>
    <w:rsid w:val="003E0E2E"/>
    <w:rsid w:val="003E1B98"/>
    <w:rsid w:val="003E39AF"/>
    <w:rsid w:val="003E6AC9"/>
    <w:rsid w:val="003E7376"/>
    <w:rsid w:val="003F4268"/>
    <w:rsid w:val="003F5D38"/>
    <w:rsid w:val="003F6AB7"/>
    <w:rsid w:val="003F737D"/>
    <w:rsid w:val="003F7863"/>
    <w:rsid w:val="004021AA"/>
    <w:rsid w:val="00402FE9"/>
    <w:rsid w:val="0040431E"/>
    <w:rsid w:val="00404322"/>
    <w:rsid w:val="0040456E"/>
    <w:rsid w:val="00404604"/>
    <w:rsid w:val="0040483F"/>
    <w:rsid w:val="00404F43"/>
    <w:rsid w:val="0040554D"/>
    <w:rsid w:val="00405A28"/>
    <w:rsid w:val="004101F9"/>
    <w:rsid w:val="0041055D"/>
    <w:rsid w:val="0041067D"/>
    <w:rsid w:val="0041211E"/>
    <w:rsid w:val="004139DE"/>
    <w:rsid w:val="00413DED"/>
    <w:rsid w:val="0041422C"/>
    <w:rsid w:val="00414973"/>
    <w:rsid w:val="00415650"/>
    <w:rsid w:val="00415761"/>
    <w:rsid w:val="00415882"/>
    <w:rsid w:val="00415E07"/>
    <w:rsid w:val="00416F9D"/>
    <w:rsid w:val="00417BD0"/>
    <w:rsid w:val="00417F42"/>
    <w:rsid w:val="00420009"/>
    <w:rsid w:val="00423D31"/>
    <w:rsid w:val="0042469E"/>
    <w:rsid w:val="00425C8E"/>
    <w:rsid w:val="00425DC5"/>
    <w:rsid w:val="00426E99"/>
    <w:rsid w:val="00430318"/>
    <w:rsid w:val="004304DB"/>
    <w:rsid w:val="00432D7C"/>
    <w:rsid w:val="0043306A"/>
    <w:rsid w:val="0043546E"/>
    <w:rsid w:val="00435D48"/>
    <w:rsid w:val="00437D3F"/>
    <w:rsid w:val="00441743"/>
    <w:rsid w:val="0044235D"/>
    <w:rsid w:val="00443453"/>
    <w:rsid w:val="004435F3"/>
    <w:rsid w:val="00443DDE"/>
    <w:rsid w:val="004446C8"/>
    <w:rsid w:val="00445218"/>
    <w:rsid w:val="00445977"/>
    <w:rsid w:val="00446480"/>
    <w:rsid w:val="00451D9F"/>
    <w:rsid w:val="0045271A"/>
    <w:rsid w:val="00453CEE"/>
    <w:rsid w:val="00455FF4"/>
    <w:rsid w:val="004606F0"/>
    <w:rsid w:val="00461587"/>
    <w:rsid w:val="004619CC"/>
    <w:rsid w:val="00461B2B"/>
    <w:rsid w:val="00461B9B"/>
    <w:rsid w:val="004632C0"/>
    <w:rsid w:val="00463FDE"/>
    <w:rsid w:val="004642C4"/>
    <w:rsid w:val="00471069"/>
    <w:rsid w:val="0047136A"/>
    <w:rsid w:val="00471A11"/>
    <w:rsid w:val="00472056"/>
    <w:rsid w:val="00472D18"/>
    <w:rsid w:val="00472DAC"/>
    <w:rsid w:val="004731BD"/>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00BF"/>
    <w:rsid w:val="00491E71"/>
    <w:rsid w:val="00492F1B"/>
    <w:rsid w:val="004930D4"/>
    <w:rsid w:val="004961BB"/>
    <w:rsid w:val="004A0F89"/>
    <w:rsid w:val="004A15DD"/>
    <w:rsid w:val="004A2771"/>
    <w:rsid w:val="004A2F5B"/>
    <w:rsid w:val="004A373F"/>
    <w:rsid w:val="004A5A8B"/>
    <w:rsid w:val="004A614B"/>
    <w:rsid w:val="004A7469"/>
    <w:rsid w:val="004A7FDE"/>
    <w:rsid w:val="004B02B3"/>
    <w:rsid w:val="004B0990"/>
    <w:rsid w:val="004B0A8F"/>
    <w:rsid w:val="004B1388"/>
    <w:rsid w:val="004B371B"/>
    <w:rsid w:val="004B4331"/>
    <w:rsid w:val="004B499D"/>
    <w:rsid w:val="004B5920"/>
    <w:rsid w:val="004B608B"/>
    <w:rsid w:val="004B79AA"/>
    <w:rsid w:val="004C03AD"/>
    <w:rsid w:val="004C2AB3"/>
    <w:rsid w:val="004C2AE3"/>
    <w:rsid w:val="004C531B"/>
    <w:rsid w:val="004C58E9"/>
    <w:rsid w:val="004C682F"/>
    <w:rsid w:val="004C726A"/>
    <w:rsid w:val="004D0B70"/>
    <w:rsid w:val="004D382E"/>
    <w:rsid w:val="004D51A8"/>
    <w:rsid w:val="004D6512"/>
    <w:rsid w:val="004D6AF6"/>
    <w:rsid w:val="004D7382"/>
    <w:rsid w:val="004E03E5"/>
    <w:rsid w:val="004E1192"/>
    <w:rsid w:val="004E1F70"/>
    <w:rsid w:val="004E20D8"/>
    <w:rsid w:val="004E2C0E"/>
    <w:rsid w:val="004E43AE"/>
    <w:rsid w:val="004E6A56"/>
    <w:rsid w:val="004E71B5"/>
    <w:rsid w:val="004F1B08"/>
    <w:rsid w:val="004F2687"/>
    <w:rsid w:val="004F37BC"/>
    <w:rsid w:val="004F50ED"/>
    <w:rsid w:val="004F5E9E"/>
    <w:rsid w:val="004F7B55"/>
    <w:rsid w:val="004F7E1F"/>
    <w:rsid w:val="004F7F74"/>
    <w:rsid w:val="0050177B"/>
    <w:rsid w:val="00501D4A"/>
    <w:rsid w:val="005039B2"/>
    <w:rsid w:val="005059BB"/>
    <w:rsid w:val="00506DCA"/>
    <w:rsid w:val="00507A75"/>
    <w:rsid w:val="0051066E"/>
    <w:rsid w:val="005107D3"/>
    <w:rsid w:val="0051141A"/>
    <w:rsid w:val="00515469"/>
    <w:rsid w:val="00515BB7"/>
    <w:rsid w:val="00516CCB"/>
    <w:rsid w:val="00516DFF"/>
    <w:rsid w:val="005175B4"/>
    <w:rsid w:val="00517A03"/>
    <w:rsid w:val="00520A86"/>
    <w:rsid w:val="00521ADD"/>
    <w:rsid w:val="00522C97"/>
    <w:rsid w:val="00525211"/>
    <w:rsid w:val="00530C01"/>
    <w:rsid w:val="00530C83"/>
    <w:rsid w:val="005319AF"/>
    <w:rsid w:val="005322D4"/>
    <w:rsid w:val="005350AF"/>
    <w:rsid w:val="005362E5"/>
    <w:rsid w:val="00536808"/>
    <w:rsid w:val="00536969"/>
    <w:rsid w:val="00537CF0"/>
    <w:rsid w:val="005404B5"/>
    <w:rsid w:val="00541010"/>
    <w:rsid w:val="0054179B"/>
    <w:rsid w:val="00541E8F"/>
    <w:rsid w:val="00542911"/>
    <w:rsid w:val="00544964"/>
    <w:rsid w:val="00546456"/>
    <w:rsid w:val="00547676"/>
    <w:rsid w:val="00547E63"/>
    <w:rsid w:val="00553B7C"/>
    <w:rsid w:val="00554EB6"/>
    <w:rsid w:val="00555694"/>
    <w:rsid w:val="005561AA"/>
    <w:rsid w:val="005616E7"/>
    <w:rsid w:val="00562592"/>
    <w:rsid w:val="00563E55"/>
    <w:rsid w:val="00564FE6"/>
    <w:rsid w:val="0056500E"/>
    <w:rsid w:val="00565052"/>
    <w:rsid w:val="00566564"/>
    <w:rsid w:val="00566E0D"/>
    <w:rsid w:val="00566EF2"/>
    <w:rsid w:val="00566FED"/>
    <w:rsid w:val="0056758A"/>
    <w:rsid w:val="005677E0"/>
    <w:rsid w:val="00567CDD"/>
    <w:rsid w:val="00567DB3"/>
    <w:rsid w:val="00567ED5"/>
    <w:rsid w:val="00570277"/>
    <w:rsid w:val="00571494"/>
    <w:rsid w:val="005718B2"/>
    <w:rsid w:val="00572880"/>
    <w:rsid w:val="00573B51"/>
    <w:rsid w:val="005740C0"/>
    <w:rsid w:val="00575EA8"/>
    <w:rsid w:val="00576E47"/>
    <w:rsid w:val="00580C8C"/>
    <w:rsid w:val="00581790"/>
    <w:rsid w:val="00581F8A"/>
    <w:rsid w:val="00582A14"/>
    <w:rsid w:val="0058319E"/>
    <w:rsid w:val="00583251"/>
    <w:rsid w:val="005833C6"/>
    <w:rsid w:val="0058669A"/>
    <w:rsid w:val="00586C0B"/>
    <w:rsid w:val="00586C31"/>
    <w:rsid w:val="0058717A"/>
    <w:rsid w:val="00587CA0"/>
    <w:rsid w:val="00587E64"/>
    <w:rsid w:val="0059196B"/>
    <w:rsid w:val="0059232E"/>
    <w:rsid w:val="00593C27"/>
    <w:rsid w:val="00595C96"/>
    <w:rsid w:val="00596E0C"/>
    <w:rsid w:val="005A1B61"/>
    <w:rsid w:val="005A47E7"/>
    <w:rsid w:val="005A5C61"/>
    <w:rsid w:val="005A5F5E"/>
    <w:rsid w:val="005A63C4"/>
    <w:rsid w:val="005B1339"/>
    <w:rsid w:val="005B1448"/>
    <w:rsid w:val="005B14E1"/>
    <w:rsid w:val="005B2A39"/>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4BBF"/>
    <w:rsid w:val="005C5873"/>
    <w:rsid w:val="005C66A5"/>
    <w:rsid w:val="005C7117"/>
    <w:rsid w:val="005D059F"/>
    <w:rsid w:val="005D0E4D"/>
    <w:rsid w:val="005D1084"/>
    <w:rsid w:val="005D14AA"/>
    <w:rsid w:val="005D33AB"/>
    <w:rsid w:val="005D377E"/>
    <w:rsid w:val="005D3DF0"/>
    <w:rsid w:val="005D4035"/>
    <w:rsid w:val="005D5193"/>
    <w:rsid w:val="005D6058"/>
    <w:rsid w:val="005E1B5F"/>
    <w:rsid w:val="005E27D0"/>
    <w:rsid w:val="005E2C76"/>
    <w:rsid w:val="005E32EF"/>
    <w:rsid w:val="005E446A"/>
    <w:rsid w:val="005E47DE"/>
    <w:rsid w:val="005E4BE1"/>
    <w:rsid w:val="005E53E9"/>
    <w:rsid w:val="005E54D5"/>
    <w:rsid w:val="005E7B80"/>
    <w:rsid w:val="005F0A3E"/>
    <w:rsid w:val="005F2C97"/>
    <w:rsid w:val="005F3C31"/>
    <w:rsid w:val="005F3C9B"/>
    <w:rsid w:val="005F420B"/>
    <w:rsid w:val="005F4BCE"/>
    <w:rsid w:val="005F5956"/>
    <w:rsid w:val="005F5F55"/>
    <w:rsid w:val="005F746A"/>
    <w:rsid w:val="005F7E75"/>
    <w:rsid w:val="00600D58"/>
    <w:rsid w:val="006010C7"/>
    <w:rsid w:val="00602F87"/>
    <w:rsid w:val="00603698"/>
    <w:rsid w:val="006042C2"/>
    <w:rsid w:val="006042D2"/>
    <w:rsid w:val="0060431F"/>
    <w:rsid w:val="0060505A"/>
    <w:rsid w:val="0060546D"/>
    <w:rsid w:val="00605E9E"/>
    <w:rsid w:val="00606F77"/>
    <w:rsid w:val="006103D6"/>
    <w:rsid w:val="00610E79"/>
    <w:rsid w:val="0061333C"/>
    <w:rsid w:val="00614BB6"/>
    <w:rsid w:val="00614E74"/>
    <w:rsid w:val="006170F9"/>
    <w:rsid w:val="00617829"/>
    <w:rsid w:val="00621251"/>
    <w:rsid w:val="00622339"/>
    <w:rsid w:val="00623960"/>
    <w:rsid w:val="00623C8F"/>
    <w:rsid w:val="00623DB9"/>
    <w:rsid w:val="00624669"/>
    <w:rsid w:val="006255FB"/>
    <w:rsid w:val="0062602A"/>
    <w:rsid w:val="00630BD3"/>
    <w:rsid w:val="00631793"/>
    <w:rsid w:val="00632475"/>
    <w:rsid w:val="006337F0"/>
    <w:rsid w:val="00633905"/>
    <w:rsid w:val="00633B04"/>
    <w:rsid w:val="0063490B"/>
    <w:rsid w:val="00635957"/>
    <w:rsid w:val="00640F90"/>
    <w:rsid w:val="0064110A"/>
    <w:rsid w:val="006419DD"/>
    <w:rsid w:val="006438A2"/>
    <w:rsid w:val="0064417F"/>
    <w:rsid w:val="00644395"/>
    <w:rsid w:val="00644E89"/>
    <w:rsid w:val="00644E8C"/>
    <w:rsid w:val="0064553D"/>
    <w:rsid w:val="00645F58"/>
    <w:rsid w:val="00647BCF"/>
    <w:rsid w:val="00650F0C"/>
    <w:rsid w:val="00653A84"/>
    <w:rsid w:val="00655692"/>
    <w:rsid w:val="00660162"/>
    <w:rsid w:val="00660D5F"/>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667E"/>
    <w:rsid w:val="0067722E"/>
    <w:rsid w:val="00677768"/>
    <w:rsid w:val="00680BB0"/>
    <w:rsid w:val="0068161A"/>
    <w:rsid w:val="00681B08"/>
    <w:rsid w:val="00682210"/>
    <w:rsid w:val="0068468E"/>
    <w:rsid w:val="0068493A"/>
    <w:rsid w:val="00690E2E"/>
    <w:rsid w:val="006913E5"/>
    <w:rsid w:val="006914A4"/>
    <w:rsid w:val="00692614"/>
    <w:rsid w:val="00692695"/>
    <w:rsid w:val="006935DD"/>
    <w:rsid w:val="00693B1C"/>
    <w:rsid w:val="00694B71"/>
    <w:rsid w:val="00694D51"/>
    <w:rsid w:val="0069587F"/>
    <w:rsid w:val="00696C1C"/>
    <w:rsid w:val="00696C1F"/>
    <w:rsid w:val="0069704D"/>
    <w:rsid w:val="006A021E"/>
    <w:rsid w:val="006A05E2"/>
    <w:rsid w:val="006A1E1E"/>
    <w:rsid w:val="006A3EEB"/>
    <w:rsid w:val="006A46FC"/>
    <w:rsid w:val="006A5B96"/>
    <w:rsid w:val="006A6A67"/>
    <w:rsid w:val="006A7B6D"/>
    <w:rsid w:val="006A7CF6"/>
    <w:rsid w:val="006B17C4"/>
    <w:rsid w:val="006B2CE7"/>
    <w:rsid w:val="006B6172"/>
    <w:rsid w:val="006B76DD"/>
    <w:rsid w:val="006B7C5A"/>
    <w:rsid w:val="006C1983"/>
    <w:rsid w:val="006C1D45"/>
    <w:rsid w:val="006C1F12"/>
    <w:rsid w:val="006C36A3"/>
    <w:rsid w:val="006C4182"/>
    <w:rsid w:val="006C4789"/>
    <w:rsid w:val="006C4D55"/>
    <w:rsid w:val="006C5B05"/>
    <w:rsid w:val="006C5D20"/>
    <w:rsid w:val="006C6108"/>
    <w:rsid w:val="006C662A"/>
    <w:rsid w:val="006C6B50"/>
    <w:rsid w:val="006C7FE7"/>
    <w:rsid w:val="006D0478"/>
    <w:rsid w:val="006D0CC3"/>
    <w:rsid w:val="006D1F69"/>
    <w:rsid w:val="006D5449"/>
    <w:rsid w:val="006D6214"/>
    <w:rsid w:val="006D6908"/>
    <w:rsid w:val="006D6F92"/>
    <w:rsid w:val="006E0CE9"/>
    <w:rsid w:val="006E1496"/>
    <w:rsid w:val="006E2D56"/>
    <w:rsid w:val="006E4434"/>
    <w:rsid w:val="006E466E"/>
    <w:rsid w:val="006E4B78"/>
    <w:rsid w:val="006E4EFA"/>
    <w:rsid w:val="006E5051"/>
    <w:rsid w:val="006E5850"/>
    <w:rsid w:val="006E6279"/>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0898"/>
    <w:rsid w:val="007111B8"/>
    <w:rsid w:val="00711553"/>
    <w:rsid w:val="007118BF"/>
    <w:rsid w:val="007131E9"/>
    <w:rsid w:val="00713465"/>
    <w:rsid w:val="0071462D"/>
    <w:rsid w:val="00714644"/>
    <w:rsid w:val="007172D5"/>
    <w:rsid w:val="00722142"/>
    <w:rsid w:val="00724AE0"/>
    <w:rsid w:val="0072558C"/>
    <w:rsid w:val="007274EF"/>
    <w:rsid w:val="00727656"/>
    <w:rsid w:val="00727970"/>
    <w:rsid w:val="00727FE4"/>
    <w:rsid w:val="007302B7"/>
    <w:rsid w:val="007330F7"/>
    <w:rsid w:val="00734C6F"/>
    <w:rsid w:val="00735A59"/>
    <w:rsid w:val="0073653B"/>
    <w:rsid w:val="007403B5"/>
    <w:rsid w:val="00740A0B"/>
    <w:rsid w:val="007410A2"/>
    <w:rsid w:val="00741241"/>
    <w:rsid w:val="007413A1"/>
    <w:rsid w:val="00741C70"/>
    <w:rsid w:val="00742F4A"/>
    <w:rsid w:val="00742FA9"/>
    <w:rsid w:val="00743B29"/>
    <w:rsid w:val="00747DA2"/>
    <w:rsid w:val="00750C38"/>
    <w:rsid w:val="00752840"/>
    <w:rsid w:val="00753C1D"/>
    <w:rsid w:val="0075497E"/>
    <w:rsid w:val="0075663B"/>
    <w:rsid w:val="00757C59"/>
    <w:rsid w:val="00760A07"/>
    <w:rsid w:val="00762A89"/>
    <w:rsid w:val="00762E18"/>
    <w:rsid w:val="00762F60"/>
    <w:rsid w:val="0076354A"/>
    <w:rsid w:val="007664C9"/>
    <w:rsid w:val="00766660"/>
    <w:rsid w:val="00766E1A"/>
    <w:rsid w:val="00770C09"/>
    <w:rsid w:val="00770C2E"/>
    <w:rsid w:val="007714DC"/>
    <w:rsid w:val="00771E46"/>
    <w:rsid w:val="00772CC4"/>
    <w:rsid w:val="0077456F"/>
    <w:rsid w:val="00775309"/>
    <w:rsid w:val="007756FE"/>
    <w:rsid w:val="00776764"/>
    <w:rsid w:val="007773AD"/>
    <w:rsid w:val="00780066"/>
    <w:rsid w:val="00780BBE"/>
    <w:rsid w:val="00781195"/>
    <w:rsid w:val="00782185"/>
    <w:rsid w:val="0078278F"/>
    <w:rsid w:val="007832CB"/>
    <w:rsid w:val="007834FF"/>
    <w:rsid w:val="007835D7"/>
    <w:rsid w:val="00785EC7"/>
    <w:rsid w:val="00786826"/>
    <w:rsid w:val="0078696C"/>
    <w:rsid w:val="007877BA"/>
    <w:rsid w:val="00787DF2"/>
    <w:rsid w:val="00790FE3"/>
    <w:rsid w:val="007914A4"/>
    <w:rsid w:val="00791A45"/>
    <w:rsid w:val="00791B1D"/>
    <w:rsid w:val="0079207F"/>
    <w:rsid w:val="00792625"/>
    <w:rsid w:val="00793534"/>
    <w:rsid w:val="0079470F"/>
    <w:rsid w:val="00794D6D"/>
    <w:rsid w:val="007952AA"/>
    <w:rsid w:val="0079585D"/>
    <w:rsid w:val="00796E20"/>
    <w:rsid w:val="007A0265"/>
    <w:rsid w:val="007A0E20"/>
    <w:rsid w:val="007A1966"/>
    <w:rsid w:val="007A1B5C"/>
    <w:rsid w:val="007A2299"/>
    <w:rsid w:val="007A297F"/>
    <w:rsid w:val="007A3F95"/>
    <w:rsid w:val="007A5A43"/>
    <w:rsid w:val="007A5C63"/>
    <w:rsid w:val="007A657A"/>
    <w:rsid w:val="007A6B65"/>
    <w:rsid w:val="007B04EB"/>
    <w:rsid w:val="007B0C16"/>
    <w:rsid w:val="007B164B"/>
    <w:rsid w:val="007B20BB"/>
    <w:rsid w:val="007B2288"/>
    <w:rsid w:val="007B2B4C"/>
    <w:rsid w:val="007B2BB7"/>
    <w:rsid w:val="007B2D35"/>
    <w:rsid w:val="007B44EB"/>
    <w:rsid w:val="007B4502"/>
    <w:rsid w:val="007B5E1B"/>
    <w:rsid w:val="007B6EC3"/>
    <w:rsid w:val="007C01AA"/>
    <w:rsid w:val="007C06BC"/>
    <w:rsid w:val="007C0842"/>
    <w:rsid w:val="007C0F05"/>
    <w:rsid w:val="007C16D2"/>
    <w:rsid w:val="007C2FF5"/>
    <w:rsid w:val="007C3A70"/>
    <w:rsid w:val="007C614B"/>
    <w:rsid w:val="007D0198"/>
    <w:rsid w:val="007D059E"/>
    <w:rsid w:val="007D0BD6"/>
    <w:rsid w:val="007D5750"/>
    <w:rsid w:val="007D6ADF"/>
    <w:rsid w:val="007D716D"/>
    <w:rsid w:val="007D7A3B"/>
    <w:rsid w:val="007E0083"/>
    <w:rsid w:val="007E0C81"/>
    <w:rsid w:val="007E4939"/>
    <w:rsid w:val="007E4C7F"/>
    <w:rsid w:val="007E5631"/>
    <w:rsid w:val="007E614B"/>
    <w:rsid w:val="007F047B"/>
    <w:rsid w:val="007F07AC"/>
    <w:rsid w:val="007F094C"/>
    <w:rsid w:val="007F1930"/>
    <w:rsid w:val="007F1C84"/>
    <w:rsid w:val="007F3587"/>
    <w:rsid w:val="007F3D65"/>
    <w:rsid w:val="007F458D"/>
    <w:rsid w:val="007F5057"/>
    <w:rsid w:val="007F59D0"/>
    <w:rsid w:val="007F5DF3"/>
    <w:rsid w:val="007F63DD"/>
    <w:rsid w:val="00800356"/>
    <w:rsid w:val="008008FE"/>
    <w:rsid w:val="00802B78"/>
    <w:rsid w:val="00802F0F"/>
    <w:rsid w:val="00803B8F"/>
    <w:rsid w:val="00803ED8"/>
    <w:rsid w:val="00803FEE"/>
    <w:rsid w:val="00804F0F"/>
    <w:rsid w:val="008052A3"/>
    <w:rsid w:val="008062E5"/>
    <w:rsid w:val="00806452"/>
    <w:rsid w:val="00810631"/>
    <w:rsid w:val="008108A2"/>
    <w:rsid w:val="00810C39"/>
    <w:rsid w:val="00810D60"/>
    <w:rsid w:val="008115C5"/>
    <w:rsid w:val="0081364C"/>
    <w:rsid w:val="0081386D"/>
    <w:rsid w:val="008146CD"/>
    <w:rsid w:val="00814B1C"/>
    <w:rsid w:val="00817243"/>
    <w:rsid w:val="008179CE"/>
    <w:rsid w:val="00820533"/>
    <w:rsid w:val="008205D4"/>
    <w:rsid w:val="00820A60"/>
    <w:rsid w:val="00822588"/>
    <w:rsid w:val="00822FCA"/>
    <w:rsid w:val="00823B0F"/>
    <w:rsid w:val="00824191"/>
    <w:rsid w:val="00824A1C"/>
    <w:rsid w:val="00824AC8"/>
    <w:rsid w:val="00826274"/>
    <w:rsid w:val="00826E56"/>
    <w:rsid w:val="0082756A"/>
    <w:rsid w:val="00830B56"/>
    <w:rsid w:val="00831398"/>
    <w:rsid w:val="00832FD9"/>
    <w:rsid w:val="00833DBE"/>
    <w:rsid w:val="00835A49"/>
    <w:rsid w:val="00836309"/>
    <w:rsid w:val="00836925"/>
    <w:rsid w:val="00840BC5"/>
    <w:rsid w:val="00841C86"/>
    <w:rsid w:val="00841F35"/>
    <w:rsid w:val="00842161"/>
    <w:rsid w:val="00844390"/>
    <w:rsid w:val="00847C4D"/>
    <w:rsid w:val="00851720"/>
    <w:rsid w:val="00851C4C"/>
    <w:rsid w:val="00853187"/>
    <w:rsid w:val="00853494"/>
    <w:rsid w:val="00853DEB"/>
    <w:rsid w:val="00853FF3"/>
    <w:rsid w:val="0086024C"/>
    <w:rsid w:val="008605BB"/>
    <w:rsid w:val="0086136D"/>
    <w:rsid w:val="008613D8"/>
    <w:rsid w:val="008615ED"/>
    <w:rsid w:val="0086179F"/>
    <w:rsid w:val="008622C4"/>
    <w:rsid w:val="00862B0B"/>
    <w:rsid w:val="008632CF"/>
    <w:rsid w:val="00865043"/>
    <w:rsid w:val="00866ABD"/>
    <w:rsid w:val="00867B58"/>
    <w:rsid w:val="00870F55"/>
    <w:rsid w:val="00871098"/>
    <w:rsid w:val="00871538"/>
    <w:rsid w:val="0087280E"/>
    <w:rsid w:val="00874E0F"/>
    <w:rsid w:val="00874F74"/>
    <w:rsid w:val="0087561B"/>
    <w:rsid w:val="008777C5"/>
    <w:rsid w:val="00880A9D"/>
    <w:rsid w:val="0088151D"/>
    <w:rsid w:val="00881E35"/>
    <w:rsid w:val="008873A6"/>
    <w:rsid w:val="0089008D"/>
    <w:rsid w:val="00896041"/>
    <w:rsid w:val="008974E4"/>
    <w:rsid w:val="008A10D6"/>
    <w:rsid w:val="008A2209"/>
    <w:rsid w:val="008A2D72"/>
    <w:rsid w:val="008A370F"/>
    <w:rsid w:val="008A578E"/>
    <w:rsid w:val="008A7D3D"/>
    <w:rsid w:val="008B0E89"/>
    <w:rsid w:val="008B1781"/>
    <w:rsid w:val="008B23CB"/>
    <w:rsid w:val="008B4468"/>
    <w:rsid w:val="008B4875"/>
    <w:rsid w:val="008B5DAC"/>
    <w:rsid w:val="008B798C"/>
    <w:rsid w:val="008C1494"/>
    <w:rsid w:val="008C14FC"/>
    <w:rsid w:val="008C28CE"/>
    <w:rsid w:val="008C2955"/>
    <w:rsid w:val="008C2A94"/>
    <w:rsid w:val="008C498F"/>
    <w:rsid w:val="008C5E6B"/>
    <w:rsid w:val="008D183D"/>
    <w:rsid w:val="008D49C5"/>
    <w:rsid w:val="008D576F"/>
    <w:rsid w:val="008D5F6B"/>
    <w:rsid w:val="008D66CF"/>
    <w:rsid w:val="008D68E0"/>
    <w:rsid w:val="008D6B53"/>
    <w:rsid w:val="008D79E1"/>
    <w:rsid w:val="008E0070"/>
    <w:rsid w:val="008E2B0B"/>
    <w:rsid w:val="008E2C96"/>
    <w:rsid w:val="008E2F47"/>
    <w:rsid w:val="008E6119"/>
    <w:rsid w:val="008E68B6"/>
    <w:rsid w:val="008E70C3"/>
    <w:rsid w:val="008E70F6"/>
    <w:rsid w:val="008F104A"/>
    <w:rsid w:val="008F1241"/>
    <w:rsid w:val="008F30B2"/>
    <w:rsid w:val="008F451F"/>
    <w:rsid w:val="008F67B0"/>
    <w:rsid w:val="008F77F5"/>
    <w:rsid w:val="00901299"/>
    <w:rsid w:val="00901D4E"/>
    <w:rsid w:val="009030E4"/>
    <w:rsid w:val="00903189"/>
    <w:rsid w:val="009037A0"/>
    <w:rsid w:val="00903977"/>
    <w:rsid w:val="009042BE"/>
    <w:rsid w:val="009059A8"/>
    <w:rsid w:val="0090617F"/>
    <w:rsid w:val="00913853"/>
    <w:rsid w:val="009148C4"/>
    <w:rsid w:val="00915735"/>
    <w:rsid w:val="00915B26"/>
    <w:rsid w:val="009179DD"/>
    <w:rsid w:val="00921FBA"/>
    <w:rsid w:val="00923368"/>
    <w:rsid w:val="00923BD9"/>
    <w:rsid w:val="009241E7"/>
    <w:rsid w:val="00925425"/>
    <w:rsid w:val="009270D5"/>
    <w:rsid w:val="009300DC"/>
    <w:rsid w:val="00930B66"/>
    <w:rsid w:val="00931911"/>
    <w:rsid w:val="009319BF"/>
    <w:rsid w:val="0093349A"/>
    <w:rsid w:val="00933901"/>
    <w:rsid w:val="00933FB3"/>
    <w:rsid w:val="00935552"/>
    <w:rsid w:val="00936404"/>
    <w:rsid w:val="009400DF"/>
    <w:rsid w:val="0094015C"/>
    <w:rsid w:val="0094122C"/>
    <w:rsid w:val="00943431"/>
    <w:rsid w:val="0094725E"/>
    <w:rsid w:val="0094736F"/>
    <w:rsid w:val="009516F1"/>
    <w:rsid w:val="0095275C"/>
    <w:rsid w:val="00953011"/>
    <w:rsid w:val="00954B2E"/>
    <w:rsid w:val="00954BD2"/>
    <w:rsid w:val="00954EA2"/>
    <w:rsid w:val="00955AB4"/>
    <w:rsid w:val="009615AF"/>
    <w:rsid w:val="0096219A"/>
    <w:rsid w:val="00962453"/>
    <w:rsid w:val="009624F0"/>
    <w:rsid w:val="00962EC2"/>
    <w:rsid w:val="00963D61"/>
    <w:rsid w:val="00964B8B"/>
    <w:rsid w:val="00965AF3"/>
    <w:rsid w:val="00967224"/>
    <w:rsid w:val="0096758F"/>
    <w:rsid w:val="00967B13"/>
    <w:rsid w:val="00971B5F"/>
    <w:rsid w:val="009723B9"/>
    <w:rsid w:val="00972965"/>
    <w:rsid w:val="00972A51"/>
    <w:rsid w:val="00972F3B"/>
    <w:rsid w:val="009744A4"/>
    <w:rsid w:val="009766BA"/>
    <w:rsid w:val="00976A6D"/>
    <w:rsid w:val="009777B6"/>
    <w:rsid w:val="0098201C"/>
    <w:rsid w:val="00983601"/>
    <w:rsid w:val="009836BD"/>
    <w:rsid w:val="00984FD1"/>
    <w:rsid w:val="00985737"/>
    <w:rsid w:val="0098580E"/>
    <w:rsid w:val="00985D6F"/>
    <w:rsid w:val="00986147"/>
    <w:rsid w:val="009861B2"/>
    <w:rsid w:val="00986BF5"/>
    <w:rsid w:val="00990CC9"/>
    <w:rsid w:val="00990F7A"/>
    <w:rsid w:val="0099189E"/>
    <w:rsid w:val="009920BF"/>
    <w:rsid w:val="009923F2"/>
    <w:rsid w:val="0099421D"/>
    <w:rsid w:val="009978A9"/>
    <w:rsid w:val="00997DBA"/>
    <w:rsid w:val="009A0AD0"/>
    <w:rsid w:val="009A0C6B"/>
    <w:rsid w:val="009A0E8E"/>
    <w:rsid w:val="009A0F4D"/>
    <w:rsid w:val="009A1046"/>
    <w:rsid w:val="009A24B4"/>
    <w:rsid w:val="009A397F"/>
    <w:rsid w:val="009A3C03"/>
    <w:rsid w:val="009A50E3"/>
    <w:rsid w:val="009A53BC"/>
    <w:rsid w:val="009B6D9C"/>
    <w:rsid w:val="009B7849"/>
    <w:rsid w:val="009B79D1"/>
    <w:rsid w:val="009B7F64"/>
    <w:rsid w:val="009C030A"/>
    <w:rsid w:val="009C1517"/>
    <w:rsid w:val="009C1967"/>
    <w:rsid w:val="009C3250"/>
    <w:rsid w:val="009C43FF"/>
    <w:rsid w:val="009C590C"/>
    <w:rsid w:val="009C5E01"/>
    <w:rsid w:val="009C60E3"/>
    <w:rsid w:val="009C61E1"/>
    <w:rsid w:val="009C642F"/>
    <w:rsid w:val="009C6557"/>
    <w:rsid w:val="009C71C9"/>
    <w:rsid w:val="009C7F08"/>
    <w:rsid w:val="009D0030"/>
    <w:rsid w:val="009D02CB"/>
    <w:rsid w:val="009D0666"/>
    <w:rsid w:val="009D0DB0"/>
    <w:rsid w:val="009D2972"/>
    <w:rsid w:val="009D3244"/>
    <w:rsid w:val="009D47AC"/>
    <w:rsid w:val="009E14A3"/>
    <w:rsid w:val="009E1946"/>
    <w:rsid w:val="009E1C98"/>
    <w:rsid w:val="009E1F29"/>
    <w:rsid w:val="009E2535"/>
    <w:rsid w:val="009E26ED"/>
    <w:rsid w:val="009E2AE0"/>
    <w:rsid w:val="009E308A"/>
    <w:rsid w:val="009E3ACF"/>
    <w:rsid w:val="009E4B27"/>
    <w:rsid w:val="009E67C0"/>
    <w:rsid w:val="009E6B99"/>
    <w:rsid w:val="009F2070"/>
    <w:rsid w:val="009F2197"/>
    <w:rsid w:val="009F2DFF"/>
    <w:rsid w:val="009F3C45"/>
    <w:rsid w:val="009F3DA3"/>
    <w:rsid w:val="009F5CA2"/>
    <w:rsid w:val="009F6561"/>
    <w:rsid w:val="009F6E6E"/>
    <w:rsid w:val="00A0041E"/>
    <w:rsid w:val="00A01BCC"/>
    <w:rsid w:val="00A02405"/>
    <w:rsid w:val="00A02974"/>
    <w:rsid w:val="00A04183"/>
    <w:rsid w:val="00A0629B"/>
    <w:rsid w:val="00A063C6"/>
    <w:rsid w:val="00A1114B"/>
    <w:rsid w:val="00A11658"/>
    <w:rsid w:val="00A11D74"/>
    <w:rsid w:val="00A1217D"/>
    <w:rsid w:val="00A12738"/>
    <w:rsid w:val="00A13DBA"/>
    <w:rsid w:val="00A15140"/>
    <w:rsid w:val="00A157FD"/>
    <w:rsid w:val="00A162E0"/>
    <w:rsid w:val="00A1691C"/>
    <w:rsid w:val="00A17889"/>
    <w:rsid w:val="00A225E8"/>
    <w:rsid w:val="00A22968"/>
    <w:rsid w:val="00A2377D"/>
    <w:rsid w:val="00A24293"/>
    <w:rsid w:val="00A26E1D"/>
    <w:rsid w:val="00A274D0"/>
    <w:rsid w:val="00A27B7F"/>
    <w:rsid w:val="00A27CEE"/>
    <w:rsid w:val="00A30A43"/>
    <w:rsid w:val="00A30ACC"/>
    <w:rsid w:val="00A32398"/>
    <w:rsid w:val="00A34B57"/>
    <w:rsid w:val="00A36B29"/>
    <w:rsid w:val="00A42DD4"/>
    <w:rsid w:val="00A435D3"/>
    <w:rsid w:val="00A43CFB"/>
    <w:rsid w:val="00A46E7D"/>
    <w:rsid w:val="00A47F6E"/>
    <w:rsid w:val="00A5180C"/>
    <w:rsid w:val="00A52B62"/>
    <w:rsid w:val="00A5447B"/>
    <w:rsid w:val="00A54538"/>
    <w:rsid w:val="00A54F4A"/>
    <w:rsid w:val="00A55044"/>
    <w:rsid w:val="00A57848"/>
    <w:rsid w:val="00A60503"/>
    <w:rsid w:val="00A627B0"/>
    <w:rsid w:val="00A62807"/>
    <w:rsid w:val="00A62937"/>
    <w:rsid w:val="00A6329E"/>
    <w:rsid w:val="00A63740"/>
    <w:rsid w:val="00A64E93"/>
    <w:rsid w:val="00A65BAC"/>
    <w:rsid w:val="00A65F9E"/>
    <w:rsid w:val="00A67979"/>
    <w:rsid w:val="00A726EF"/>
    <w:rsid w:val="00A73802"/>
    <w:rsid w:val="00A739CB"/>
    <w:rsid w:val="00A75218"/>
    <w:rsid w:val="00A806D5"/>
    <w:rsid w:val="00A81372"/>
    <w:rsid w:val="00A81E7E"/>
    <w:rsid w:val="00A8305C"/>
    <w:rsid w:val="00A83798"/>
    <w:rsid w:val="00A8403D"/>
    <w:rsid w:val="00A85A2E"/>
    <w:rsid w:val="00A85E89"/>
    <w:rsid w:val="00A8663C"/>
    <w:rsid w:val="00A86947"/>
    <w:rsid w:val="00A86B75"/>
    <w:rsid w:val="00A86F8E"/>
    <w:rsid w:val="00A87CFE"/>
    <w:rsid w:val="00A87F6D"/>
    <w:rsid w:val="00A90419"/>
    <w:rsid w:val="00A90443"/>
    <w:rsid w:val="00A9462A"/>
    <w:rsid w:val="00A97374"/>
    <w:rsid w:val="00AA0CBD"/>
    <w:rsid w:val="00AA1D11"/>
    <w:rsid w:val="00AA2996"/>
    <w:rsid w:val="00AA2D1E"/>
    <w:rsid w:val="00AA33A2"/>
    <w:rsid w:val="00AA3E91"/>
    <w:rsid w:val="00AA3FB3"/>
    <w:rsid w:val="00AA545A"/>
    <w:rsid w:val="00AA6803"/>
    <w:rsid w:val="00AA6831"/>
    <w:rsid w:val="00AB063D"/>
    <w:rsid w:val="00AB1CC4"/>
    <w:rsid w:val="00AB22B1"/>
    <w:rsid w:val="00AB3697"/>
    <w:rsid w:val="00AB3F42"/>
    <w:rsid w:val="00AB5708"/>
    <w:rsid w:val="00AB5BDE"/>
    <w:rsid w:val="00AB6A50"/>
    <w:rsid w:val="00AB72FC"/>
    <w:rsid w:val="00AB7894"/>
    <w:rsid w:val="00AB7A99"/>
    <w:rsid w:val="00AB7CD2"/>
    <w:rsid w:val="00AC2366"/>
    <w:rsid w:val="00AC305E"/>
    <w:rsid w:val="00AC3FA5"/>
    <w:rsid w:val="00AC4055"/>
    <w:rsid w:val="00AC4786"/>
    <w:rsid w:val="00AC4E4E"/>
    <w:rsid w:val="00AC4F41"/>
    <w:rsid w:val="00AC5DCC"/>
    <w:rsid w:val="00AC63CE"/>
    <w:rsid w:val="00AC73D0"/>
    <w:rsid w:val="00AC7E51"/>
    <w:rsid w:val="00AD0751"/>
    <w:rsid w:val="00AD14AE"/>
    <w:rsid w:val="00AD22F6"/>
    <w:rsid w:val="00AD26ED"/>
    <w:rsid w:val="00AD32DA"/>
    <w:rsid w:val="00AD3E6C"/>
    <w:rsid w:val="00AD670D"/>
    <w:rsid w:val="00AD6F1F"/>
    <w:rsid w:val="00AD7139"/>
    <w:rsid w:val="00AE252F"/>
    <w:rsid w:val="00AE2A50"/>
    <w:rsid w:val="00AE2B17"/>
    <w:rsid w:val="00AE304A"/>
    <w:rsid w:val="00AE3389"/>
    <w:rsid w:val="00AE5675"/>
    <w:rsid w:val="00AF1E24"/>
    <w:rsid w:val="00AF1EC6"/>
    <w:rsid w:val="00AF23F3"/>
    <w:rsid w:val="00AF249C"/>
    <w:rsid w:val="00AF25A5"/>
    <w:rsid w:val="00AF3B10"/>
    <w:rsid w:val="00AF660C"/>
    <w:rsid w:val="00AF699D"/>
    <w:rsid w:val="00AF734B"/>
    <w:rsid w:val="00B00487"/>
    <w:rsid w:val="00B0048B"/>
    <w:rsid w:val="00B0110F"/>
    <w:rsid w:val="00B024F4"/>
    <w:rsid w:val="00B02807"/>
    <w:rsid w:val="00B031BE"/>
    <w:rsid w:val="00B03847"/>
    <w:rsid w:val="00B0480E"/>
    <w:rsid w:val="00B04917"/>
    <w:rsid w:val="00B04BF5"/>
    <w:rsid w:val="00B05533"/>
    <w:rsid w:val="00B05BDA"/>
    <w:rsid w:val="00B0730A"/>
    <w:rsid w:val="00B10A08"/>
    <w:rsid w:val="00B12AD9"/>
    <w:rsid w:val="00B12AE1"/>
    <w:rsid w:val="00B15BA6"/>
    <w:rsid w:val="00B15BB4"/>
    <w:rsid w:val="00B15BE8"/>
    <w:rsid w:val="00B17920"/>
    <w:rsid w:val="00B20B82"/>
    <w:rsid w:val="00B22106"/>
    <w:rsid w:val="00B225FD"/>
    <w:rsid w:val="00B22FED"/>
    <w:rsid w:val="00B23FE1"/>
    <w:rsid w:val="00B2500C"/>
    <w:rsid w:val="00B25334"/>
    <w:rsid w:val="00B34FB5"/>
    <w:rsid w:val="00B3595B"/>
    <w:rsid w:val="00B36FC4"/>
    <w:rsid w:val="00B37AA1"/>
    <w:rsid w:val="00B40B8F"/>
    <w:rsid w:val="00B40D4D"/>
    <w:rsid w:val="00B410E9"/>
    <w:rsid w:val="00B41556"/>
    <w:rsid w:val="00B41B78"/>
    <w:rsid w:val="00B42106"/>
    <w:rsid w:val="00B421EA"/>
    <w:rsid w:val="00B433E3"/>
    <w:rsid w:val="00B438C4"/>
    <w:rsid w:val="00B43BF2"/>
    <w:rsid w:val="00B43D7B"/>
    <w:rsid w:val="00B4426C"/>
    <w:rsid w:val="00B44D0E"/>
    <w:rsid w:val="00B4756D"/>
    <w:rsid w:val="00B5186A"/>
    <w:rsid w:val="00B51AF6"/>
    <w:rsid w:val="00B54132"/>
    <w:rsid w:val="00B5457F"/>
    <w:rsid w:val="00B54918"/>
    <w:rsid w:val="00B551CC"/>
    <w:rsid w:val="00B55316"/>
    <w:rsid w:val="00B5591E"/>
    <w:rsid w:val="00B55C8F"/>
    <w:rsid w:val="00B55FC0"/>
    <w:rsid w:val="00B617C5"/>
    <w:rsid w:val="00B61A10"/>
    <w:rsid w:val="00B62DFD"/>
    <w:rsid w:val="00B63057"/>
    <w:rsid w:val="00B64451"/>
    <w:rsid w:val="00B645DB"/>
    <w:rsid w:val="00B675E0"/>
    <w:rsid w:val="00B70F8B"/>
    <w:rsid w:val="00B7209D"/>
    <w:rsid w:val="00B725C1"/>
    <w:rsid w:val="00B73E87"/>
    <w:rsid w:val="00B7400F"/>
    <w:rsid w:val="00B7419D"/>
    <w:rsid w:val="00B749E4"/>
    <w:rsid w:val="00B7530B"/>
    <w:rsid w:val="00B77678"/>
    <w:rsid w:val="00B77E06"/>
    <w:rsid w:val="00B807E7"/>
    <w:rsid w:val="00B81097"/>
    <w:rsid w:val="00B810A2"/>
    <w:rsid w:val="00B814C4"/>
    <w:rsid w:val="00B81BB8"/>
    <w:rsid w:val="00B827FF"/>
    <w:rsid w:val="00B858EC"/>
    <w:rsid w:val="00B87154"/>
    <w:rsid w:val="00B875F2"/>
    <w:rsid w:val="00B90B28"/>
    <w:rsid w:val="00B919DA"/>
    <w:rsid w:val="00B91F68"/>
    <w:rsid w:val="00B93E79"/>
    <w:rsid w:val="00B9414B"/>
    <w:rsid w:val="00B95ECE"/>
    <w:rsid w:val="00B9624F"/>
    <w:rsid w:val="00B974C7"/>
    <w:rsid w:val="00B97759"/>
    <w:rsid w:val="00B97AC8"/>
    <w:rsid w:val="00BA3278"/>
    <w:rsid w:val="00BA3EFE"/>
    <w:rsid w:val="00BA4CC3"/>
    <w:rsid w:val="00BA7AB7"/>
    <w:rsid w:val="00BB0233"/>
    <w:rsid w:val="00BB06AB"/>
    <w:rsid w:val="00BB0976"/>
    <w:rsid w:val="00BB0DAA"/>
    <w:rsid w:val="00BB23DD"/>
    <w:rsid w:val="00BB2FAD"/>
    <w:rsid w:val="00BB4831"/>
    <w:rsid w:val="00BB5143"/>
    <w:rsid w:val="00BB570D"/>
    <w:rsid w:val="00BC1BEC"/>
    <w:rsid w:val="00BC1EAE"/>
    <w:rsid w:val="00BC2443"/>
    <w:rsid w:val="00BC3103"/>
    <w:rsid w:val="00BC3408"/>
    <w:rsid w:val="00BC5B3B"/>
    <w:rsid w:val="00BC5E57"/>
    <w:rsid w:val="00BC6A18"/>
    <w:rsid w:val="00BD0712"/>
    <w:rsid w:val="00BD1CDE"/>
    <w:rsid w:val="00BD29E9"/>
    <w:rsid w:val="00BD2E03"/>
    <w:rsid w:val="00BD3278"/>
    <w:rsid w:val="00BD3A80"/>
    <w:rsid w:val="00BD40E6"/>
    <w:rsid w:val="00BD5355"/>
    <w:rsid w:val="00BE2735"/>
    <w:rsid w:val="00BE3020"/>
    <w:rsid w:val="00BE40B0"/>
    <w:rsid w:val="00BE4D20"/>
    <w:rsid w:val="00BE4EB4"/>
    <w:rsid w:val="00BE5378"/>
    <w:rsid w:val="00BE6622"/>
    <w:rsid w:val="00BE72B3"/>
    <w:rsid w:val="00BF14D1"/>
    <w:rsid w:val="00BF1871"/>
    <w:rsid w:val="00BF18BA"/>
    <w:rsid w:val="00BF24CB"/>
    <w:rsid w:val="00BF3B71"/>
    <w:rsid w:val="00BF4050"/>
    <w:rsid w:val="00BF6783"/>
    <w:rsid w:val="00BF68A0"/>
    <w:rsid w:val="00BF68AB"/>
    <w:rsid w:val="00BF7C1F"/>
    <w:rsid w:val="00BF7CFE"/>
    <w:rsid w:val="00C000D7"/>
    <w:rsid w:val="00C00154"/>
    <w:rsid w:val="00C00A79"/>
    <w:rsid w:val="00C0207B"/>
    <w:rsid w:val="00C04E1E"/>
    <w:rsid w:val="00C055EF"/>
    <w:rsid w:val="00C05682"/>
    <w:rsid w:val="00C06659"/>
    <w:rsid w:val="00C07AD8"/>
    <w:rsid w:val="00C106E6"/>
    <w:rsid w:val="00C14975"/>
    <w:rsid w:val="00C152E3"/>
    <w:rsid w:val="00C1568C"/>
    <w:rsid w:val="00C1795D"/>
    <w:rsid w:val="00C17A93"/>
    <w:rsid w:val="00C203C7"/>
    <w:rsid w:val="00C204AA"/>
    <w:rsid w:val="00C220BA"/>
    <w:rsid w:val="00C226EB"/>
    <w:rsid w:val="00C25051"/>
    <w:rsid w:val="00C25708"/>
    <w:rsid w:val="00C3242C"/>
    <w:rsid w:val="00C358B9"/>
    <w:rsid w:val="00C361A5"/>
    <w:rsid w:val="00C36730"/>
    <w:rsid w:val="00C36AA9"/>
    <w:rsid w:val="00C36ABA"/>
    <w:rsid w:val="00C40040"/>
    <w:rsid w:val="00C42485"/>
    <w:rsid w:val="00C4288C"/>
    <w:rsid w:val="00C436D0"/>
    <w:rsid w:val="00C44315"/>
    <w:rsid w:val="00C44A9B"/>
    <w:rsid w:val="00C452E3"/>
    <w:rsid w:val="00C454AC"/>
    <w:rsid w:val="00C46AB7"/>
    <w:rsid w:val="00C47658"/>
    <w:rsid w:val="00C47A7C"/>
    <w:rsid w:val="00C51FED"/>
    <w:rsid w:val="00C52490"/>
    <w:rsid w:val="00C52655"/>
    <w:rsid w:val="00C533CC"/>
    <w:rsid w:val="00C540CD"/>
    <w:rsid w:val="00C54461"/>
    <w:rsid w:val="00C55424"/>
    <w:rsid w:val="00C55563"/>
    <w:rsid w:val="00C55B9B"/>
    <w:rsid w:val="00C57785"/>
    <w:rsid w:val="00C57C10"/>
    <w:rsid w:val="00C60758"/>
    <w:rsid w:val="00C60BDD"/>
    <w:rsid w:val="00C61ED2"/>
    <w:rsid w:val="00C625F8"/>
    <w:rsid w:val="00C636F3"/>
    <w:rsid w:val="00C65C99"/>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17D1"/>
    <w:rsid w:val="00C81C06"/>
    <w:rsid w:val="00C82207"/>
    <w:rsid w:val="00C82CD4"/>
    <w:rsid w:val="00C83601"/>
    <w:rsid w:val="00C84D47"/>
    <w:rsid w:val="00C860BC"/>
    <w:rsid w:val="00C865D7"/>
    <w:rsid w:val="00C87D1C"/>
    <w:rsid w:val="00C9076A"/>
    <w:rsid w:val="00C91588"/>
    <w:rsid w:val="00C91E29"/>
    <w:rsid w:val="00C92699"/>
    <w:rsid w:val="00C95D5A"/>
    <w:rsid w:val="00CA4CAB"/>
    <w:rsid w:val="00CA4CD4"/>
    <w:rsid w:val="00CA5C10"/>
    <w:rsid w:val="00CA6644"/>
    <w:rsid w:val="00CA6E2D"/>
    <w:rsid w:val="00CA7A4F"/>
    <w:rsid w:val="00CB2DCC"/>
    <w:rsid w:val="00CB33E6"/>
    <w:rsid w:val="00CB5569"/>
    <w:rsid w:val="00CB5A31"/>
    <w:rsid w:val="00CC0423"/>
    <w:rsid w:val="00CC153A"/>
    <w:rsid w:val="00CC153C"/>
    <w:rsid w:val="00CC1D7D"/>
    <w:rsid w:val="00CC27DE"/>
    <w:rsid w:val="00CC419B"/>
    <w:rsid w:val="00CC4883"/>
    <w:rsid w:val="00CC5BA7"/>
    <w:rsid w:val="00CC5E68"/>
    <w:rsid w:val="00CC5F26"/>
    <w:rsid w:val="00CC61B9"/>
    <w:rsid w:val="00CC6415"/>
    <w:rsid w:val="00CC77CC"/>
    <w:rsid w:val="00CC79D2"/>
    <w:rsid w:val="00CD1162"/>
    <w:rsid w:val="00CD1976"/>
    <w:rsid w:val="00CD2CE8"/>
    <w:rsid w:val="00CD38A6"/>
    <w:rsid w:val="00CD38BC"/>
    <w:rsid w:val="00CD3E1B"/>
    <w:rsid w:val="00CD5E85"/>
    <w:rsid w:val="00CD68ED"/>
    <w:rsid w:val="00CD73A3"/>
    <w:rsid w:val="00CD73BB"/>
    <w:rsid w:val="00CE00C8"/>
    <w:rsid w:val="00CE15C9"/>
    <w:rsid w:val="00CE35BF"/>
    <w:rsid w:val="00CE37F2"/>
    <w:rsid w:val="00CE47D8"/>
    <w:rsid w:val="00CE5AC6"/>
    <w:rsid w:val="00CE63F3"/>
    <w:rsid w:val="00CE7AAD"/>
    <w:rsid w:val="00CF1AE0"/>
    <w:rsid w:val="00CF1D57"/>
    <w:rsid w:val="00CF392D"/>
    <w:rsid w:val="00CF4105"/>
    <w:rsid w:val="00CF4F7C"/>
    <w:rsid w:val="00CF602E"/>
    <w:rsid w:val="00CF7A3E"/>
    <w:rsid w:val="00D004B1"/>
    <w:rsid w:val="00D0099C"/>
    <w:rsid w:val="00D01886"/>
    <w:rsid w:val="00D02B82"/>
    <w:rsid w:val="00D039E9"/>
    <w:rsid w:val="00D04BF8"/>
    <w:rsid w:val="00D050F8"/>
    <w:rsid w:val="00D055B6"/>
    <w:rsid w:val="00D05E53"/>
    <w:rsid w:val="00D06093"/>
    <w:rsid w:val="00D07FFA"/>
    <w:rsid w:val="00D10B76"/>
    <w:rsid w:val="00D10DDF"/>
    <w:rsid w:val="00D11772"/>
    <w:rsid w:val="00D11D8E"/>
    <w:rsid w:val="00D12198"/>
    <w:rsid w:val="00D128E1"/>
    <w:rsid w:val="00D132B9"/>
    <w:rsid w:val="00D147BF"/>
    <w:rsid w:val="00D16B34"/>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57E0"/>
    <w:rsid w:val="00D370D9"/>
    <w:rsid w:val="00D372EA"/>
    <w:rsid w:val="00D40109"/>
    <w:rsid w:val="00D40598"/>
    <w:rsid w:val="00D41267"/>
    <w:rsid w:val="00D41FBF"/>
    <w:rsid w:val="00D430C5"/>
    <w:rsid w:val="00D432D7"/>
    <w:rsid w:val="00D432FB"/>
    <w:rsid w:val="00D43DAC"/>
    <w:rsid w:val="00D4724C"/>
    <w:rsid w:val="00D47BC3"/>
    <w:rsid w:val="00D47F75"/>
    <w:rsid w:val="00D500B5"/>
    <w:rsid w:val="00D50231"/>
    <w:rsid w:val="00D50B9E"/>
    <w:rsid w:val="00D5417D"/>
    <w:rsid w:val="00D54197"/>
    <w:rsid w:val="00D546CF"/>
    <w:rsid w:val="00D54EB6"/>
    <w:rsid w:val="00D55483"/>
    <w:rsid w:val="00D569DA"/>
    <w:rsid w:val="00D57040"/>
    <w:rsid w:val="00D57C90"/>
    <w:rsid w:val="00D57FC6"/>
    <w:rsid w:val="00D61002"/>
    <w:rsid w:val="00D62D27"/>
    <w:rsid w:val="00D62F97"/>
    <w:rsid w:val="00D64430"/>
    <w:rsid w:val="00D66E54"/>
    <w:rsid w:val="00D70580"/>
    <w:rsid w:val="00D705BB"/>
    <w:rsid w:val="00D711A6"/>
    <w:rsid w:val="00D7149A"/>
    <w:rsid w:val="00D719ED"/>
    <w:rsid w:val="00D72727"/>
    <w:rsid w:val="00D72E5F"/>
    <w:rsid w:val="00D7335F"/>
    <w:rsid w:val="00D73C15"/>
    <w:rsid w:val="00D77E82"/>
    <w:rsid w:val="00D80060"/>
    <w:rsid w:val="00D8009A"/>
    <w:rsid w:val="00D8019F"/>
    <w:rsid w:val="00D80825"/>
    <w:rsid w:val="00D8140A"/>
    <w:rsid w:val="00D81515"/>
    <w:rsid w:val="00D81786"/>
    <w:rsid w:val="00D819C6"/>
    <w:rsid w:val="00D81D5C"/>
    <w:rsid w:val="00D82392"/>
    <w:rsid w:val="00D82AB8"/>
    <w:rsid w:val="00D840A7"/>
    <w:rsid w:val="00D90C2C"/>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A7E98"/>
    <w:rsid w:val="00DB04D3"/>
    <w:rsid w:val="00DB34A8"/>
    <w:rsid w:val="00DB5652"/>
    <w:rsid w:val="00DB58E6"/>
    <w:rsid w:val="00DB5A51"/>
    <w:rsid w:val="00DB5DC2"/>
    <w:rsid w:val="00DB74C0"/>
    <w:rsid w:val="00DB7622"/>
    <w:rsid w:val="00DB77F8"/>
    <w:rsid w:val="00DC1993"/>
    <w:rsid w:val="00DC34FC"/>
    <w:rsid w:val="00DC44D4"/>
    <w:rsid w:val="00DC4542"/>
    <w:rsid w:val="00DC4C41"/>
    <w:rsid w:val="00DC563D"/>
    <w:rsid w:val="00DC5BED"/>
    <w:rsid w:val="00DC5DFD"/>
    <w:rsid w:val="00DC6F46"/>
    <w:rsid w:val="00DC71C7"/>
    <w:rsid w:val="00DC7C15"/>
    <w:rsid w:val="00DC7D13"/>
    <w:rsid w:val="00DD06C8"/>
    <w:rsid w:val="00DD2117"/>
    <w:rsid w:val="00DD478B"/>
    <w:rsid w:val="00DD53DD"/>
    <w:rsid w:val="00DD7096"/>
    <w:rsid w:val="00DD7861"/>
    <w:rsid w:val="00DE035C"/>
    <w:rsid w:val="00DE08F4"/>
    <w:rsid w:val="00DE1D81"/>
    <w:rsid w:val="00DE2B01"/>
    <w:rsid w:val="00DE430E"/>
    <w:rsid w:val="00DE451C"/>
    <w:rsid w:val="00DE5B4C"/>
    <w:rsid w:val="00DE5DE6"/>
    <w:rsid w:val="00DF007A"/>
    <w:rsid w:val="00DF12D9"/>
    <w:rsid w:val="00DF153C"/>
    <w:rsid w:val="00DF1D88"/>
    <w:rsid w:val="00DF4051"/>
    <w:rsid w:val="00DF4EAE"/>
    <w:rsid w:val="00DF6841"/>
    <w:rsid w:val="00DF7707"/>
    <w:rsid w:val="00E00B8F"/>
    <w:rsid w:val="00E01D0C"/>
    <w:rsid w:val="00E02DAE"/>
    <w:rsid w:val="00E031AA"/>
    <w:rsid w:val="00E034C9"/>
    <w:rsid w:val="00E03BCC"/>
    <w:rsid w:val="00E04370"/>
    <w:rsid w:val="00E0441E"/>
    <w:rsid w:val="00E044EB"/>
    <w:rsid w:val="00E04DFA"/>
    <w:rsid w:val="00E06ABF"/>
    <w:rsid w:val="00E07E2B"/>
    <w:rsid w:val="00E10154"/>
    <w:rsid w:val="00E11912"/>
    <w:rsid w:val="00E11AFD"/>
    <w:rsid w:val="00E12B85"/>
    <w:rsid w:val="00E13CE0"/>
    <w:rsid w:val="00E14AB2"/>
    <w:rsid w:val="00E14EF0"/>
    <w:rsid w:val="00E156C7"/>
    <w:rsid w:val="00E1582D"/>
    <w:rsid w:val="00E1736C"/>
    <w:rsid w:val="00E201A5"/>
    <w:rsid w:val="00E2076B"/>
    <w:rsid w:val="00E20E87"/>
    <w:rsid w:val="00E21081"/>
    <w:rsid w:val="00E21FD5"/>
    <w:rsid w:val="00E24B44"/>
    <w:rsid w:val="00E2754C"/>
    <w:rsid w:val="00E2782A"/>
    <w:rsid w:val="00E31CB4"/>
    <w:rsid w:val="00E31CBD"/>
    <w:rsid w:val="00E338CF"/>
    <w:rsid w:val="00E33CB9"/>
    <w:rsid w:val="00E349E1"/>
    <w:rsid w:val="00E362DA"/>
    <w:rsid w:val="00E36B90"/>
    <w:rsid w:val="00E36FCE"/>
    <w:rsid w:val="00E4185D"/>
    <w:rsid w:val="00E424B7"/>
    <w:rsid w:val="00E4355F"/>
    <w:rsid w:val="00E43645"/>
    <w:rsid w:val="00E43D58"/>
    <w:rsid w:val="00E44DE7"/>
    <w:rsid w:val="00E46893"/>
    <w:rsid w:val="00E46B95"/>
    <w:rsid w:val="00E46E83"/>
    <w:rsid w:val="00E47668"/>
    <w:rsid w:val="00E50F00"/>
    <w:rsid w:val="00E52C77"/>
    <w:rsid w:val="00E5429B"/>
    <w:rsid w:val="00E5443A"/>
    <w:rsid w:val="00E55F60"/>
    <w:rsid w:val="00E56209"/>
    <w:rsid w:val="00E56544"/>
    <w:rsid w:val="00E57BCC"/>
    <w:rsid w:val="00E57C95"/>
    <w:rsid w:val="00E603F2"/>
    <w:rsid w:val="00E6066B"/>
    <w:rsid w:val="00E6106D"/>
    <w:rsid w:val="00E611AC"/>
    <w:rsid w:val="00E63364"/>
    <w:rsid w:val="00E63AE1"/>
    <w:rsid w:val="00E6480B"/>
    <w:rsid w:val="00E648B0"/>
    <w:rsid w:val="00E6630F"/>
    <w:rsid w:val="00E6776A"/>
    <w:rsid w:val="00E706C3"/>
    <w:rsid w:val="00E706E2"/>
    <w:rsid w:val="00E7070A"/>
    <w:rsid w:val="00E720AC"/>
    <w:rsid w:val="00E73368"/>
    <w:rsid w:val="00E7437B"/>
    <w:rsid w:val="00E759BE"/>
    <w:rsid w:val="00E7601A"/>
    <w:rsid w:val="00E7692D"/>
    <w:rsid w:val="00E77401"/>
    <w:rsid w:val="00E81CBA"/>
    <w:rsid w:val="00E83CF2"/>
    <w:rsid w:val="00E86296"/>
    <w:rsid w:val="00E8678C"/>
    <w:rsid w:val="00E86ECE"/>
    <w:rsid w:val="00E9030E"/>
    <w:rsid w:val="00E90527"/>
    <w:rsid w:val="00E91AAA"/>
    <w:rsid w:val="00E93013"/>
    <w:rsid w:val="00E9360D"/>
    <w:rsid w:val="00E9405A"/>
    <w:rsid w:val="00E941D5"/>
    <w:rsid w:val="00E95ABB"/>
    <w:rsid w:val="00EA0000"/>
    <w:rsid w:val="00EA0197"/>
    <w:rsid w:val="00EA0214"/>
    <w:rsid w:val="00EA25FC"/>
    <w:rsid w:val="00EA28C3"/>
    <w:rsid w:val="00EA2ADB"/>
    <w:rsid w:val="00EA504D"/>
    <w:rsid w:val="00EA70B5"/>
    <w:rsid w:val="00EA7140"/>
    <w:rsid w:val="00EA785C"/>
    <w:rsid w:val="00EB01FB"/>
    <w:rsid w:val="00EB1BEE"/>
    <w:rsid w:val="00EB2B82"/>
    <w:rsid w:val="00EB5BFA"/>
    <w:rsid w:val="00EB61BE"/>
    <w:rsid w:val="00EB635D"/>
    <w:rsid w:val="00EB6466"/>
    <w:rsid w:val="00EC05D9"/>
    <w:rsid w:val="00EC11EA"/>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267"/>
    <w:rsid w:val="00ED277A"/>
    <w:rsid w:val="00ED5D84"/>
    <w:rsid w:val="00EE01EE"/>
    <w:rsid w:val="00EE0E35"/>
    <w:rsid w:val="00EE5378"/>
    <w:rsid w:val="00EE6551"/>
    <w:rsid w:val="00EE6D25"/>
    <w:rsid w:val="00EE7867"/>
    <w:rsid w:val="00EE7BDC"/>
    <w:rsid w:val="00EF1AF6"/>
    <w:rsid w:val="00EF1D6C"/>
    <w:rsid w:val="00EF23FC"/>
    <w:rsid w:val="00EF293D"/>
    <w:rsid w:val="00EF310F"/>
    <w:rsid w:val="00EF43BB"/>
    <w:rsid w:val="00EF6E38"/>
    <w:rsid w:val="00EF7432"/>
    <w:rsid w:val="00F00FCB"/>
    <w:rsid w:val="00F01213"/>
    <w:rsid w:val="00F01DF4"/>
    <w:rsid w:val="00F058B2"/>
    <w:rsid w:val="00F05B5B"/>
    <w:rsid w:val="00F10506"/>
    <w:rsid w:val="00F10B53"/>
    <w:rsid w:val="00F1313A"/>
    <w:rsid w:val="00F138A0"/>
    <w:rsid w:val="00F143A5"/>
    <w:rsid w:val="00F14BC0"/>
    <w:rsid w:val="00F16A9A"/>
    <w:rsid w:val="00F20731"/>
    <w:rsid w:val="00F20795"/>
    <w:rsid w:val="00F2094B"/>
    <w:rsid w:val="00F2116C"/>
    <w:rsid w:val="00F2180C"/>
    <w:rsid w:val="00F21A8F"/>
    <w:rsid w:val="00F23066"/>
    <w:rsid w:val="00F23082"/>
    <w:rsid w:val="00F230A1"/>
    <w:rsid w:val="00F23E6F"/>
    <w:rsid w:val="00F24ABE"/>
    <w:rsid w:val="00F2528B"/>
    <w:rsid w:val="00F25556"/>
    <w:rsid w:val="00F25984"/>
    <w:rsid w:val="00F26A2D"/>
    <w:rsid w:val="00F2718A"/>
    <w:rsid w:val="00F30303"/>
    <w:rsid w:val="00F317D8"/>
    <w:rsid w:val="00F321CF"/>
    <w:rsid w:val="00F3280D"/>
    <w:rsid w:val="00F32BA1"/>
    <w:rsid w:val="00F33510"/>
    <w:rsid w:val="00F34E37"/>
    <w:rsid w:val="00F35D67"/>
    <w:rsid w:val="00F361E9"/>
    <w:rsid w:val="00F362BD"/>
    <w:rsid w:val="00F37D7A"/>
    <w:rsid w:val="00F4208A"/>
    <w:rsid w:val="00F442D0"/>
    <w:rsid w:val="00F44CA9"/>
    <w:rsid w:val="00F451C5"/>
    <w:rsid w:val="00F4587E"/>
    <w:rsid w:val="00F460DE"/>
    <w:rsid w:val="00F518EF"/>
    <w:rsid w:val="00F519E1"/>
    <w:rsid w:val="00F51AE5"/>
    <w:rsid w:val="00F534CE"/>
    <w:rsid w:val="00F545EC"/>
    <w:rsid w:val="00F57187"/>
    <w:rsid w:val="00F6317B"/>
    <w:rsid w:val="00F63457"/>
    <w:rsid w:val="00F636DA"/>
    <w:rsid w:val="00F6379B"/>
    <w:rsid w:val="00F64EFC"/>
    <w:rsid w:val="00F653D5"/>
    <w:rsid w:val="00F65C8F"/>
    <w:rsid w:val="00F66133"/>
    <w:rsid w:val="00F67945"/>
    <w:rsid w:val="00F71DD5"/>
    <w:rsid w:val="00F720B5"/>
    <w:rsid w:val="00F7213D"/>
    <w:rsid w:val="00F72DB2"/>
    <w:rsid w:val="00F72EF7"/>
    <w:rsid w:val="00F732AA"/>
    <w:rsid w:val="00F736FF"/>
    <w:rsid w:val="00F73E10"/>
    <w:rsid w:val="00F753E2"/>
    <w:rsid w:val="00F75607"/>
    <w:rsid w:val="00F765FD"/>
    <w:rsid w:val="00F76B7F"/>
    <w:rsid w:val="00F778BE"/>
    <w:rsid w:val="00F77C22"/>
    <w:rsid w:val="00F80843"/>
    <w:rsid w:val="00F81021"/>
    <w:rsid w:val="00F81058"/>
    <w:rsid w:val="00F81C4B"/>
    <w:rsid w:val="00F83EF6"/>
    <w:rsid w:val="00F840DB"/>
    <w:rsid w:val="00F867B0"/>
    <w:rsid w:val="00F86E1D"/>
    <w:rsid w:val="00F870DB"/>
    <w:rsid w:val="00F879D0"/>
    <w:rsid w:val="00F900F6"/>
    <w:rsid w:val="00F92A27"/>
    <w:rsid w:val="00F94907"/>
    <w:rsid w:val="00F94B4B"/>
    <w:rsid w:val="00F971C5"/>
    <w:rsid w:val="00F97DD1"/>
    <w:rsid w:val="00FA0264"/>
    <w:rsid w:val="00FA12AA"/>
    <w:rsid w:val="00FA1658"/>
    <w:rsid w:val="00FA29DD"/>
    <w:rsid w:val="00FA3C80"/>
    <w:rsid w:val="00FA50BF"/>
    <w:rsid w:val="00FA58C8"/>
    <w:rsid w:val="00FB00B2"/>
    <w:rsid w:val="00FB0C69"/>
    <w:rsid w:val="00FB0D77"/>
    <w:rsid w:val="00FB638A"/>
    <w:rsid w:val="00FB67CF"/>
    <w:rsid w:val="00FB70D3"/>
    <w:rsid w:val="00FC0DCE"/>
    <w:rsid w:val="00FC3420"/>
    <w:rsid w:val="00FC55A5"/>
    <w:rsid w:val="00FC6739"/>
    <w:rsid w:val="00FC726D"/>
    <w:rsid w:val="00FC7976"/>
    <w:rsid w:val="00FD0EA7"/>
    <w:rsid w:val="00FD1A00"/>
    <w:rsid w:val="00FD1C16"/>
    <w:rsid w:val="00FD1F36"/>
    <w:rsid w:val="00FD2507"/>
    <w:rsid w:val="00FD3129"/>
    <w:rsid w:val="00FD416B"/>
    <w:rsid w:val="00FD4819"/>
    <w:rsid w:val="00FD50A4"/>
    <w:rsid w:val="00FD73B2"/>
    <w:rsid w:val="00FD79A0"/>
    <w:rsid w:val="00FE056B"/>
    <w:rsid w:val="00FE0A23"/>
    <w:rsid w:val="00FE139D"/>
    <w:rsid w:val="00FE1D9E"/>
    <w:rsid w:val="00FE33E1"/>
    <w:rsid w:val="00FE35B7"/>
    <w:rsid w:val="00FE36E3"/>
    <w:rsid w:val="00FE3E51"/>
    <w:rsid w:val="00FE4304"/>
    <w:rsid w:val="00FE5DB9"/>
    <w:rsid w:val="00FE710E"/>
    <w:rsid w:val="00FF0AE0"/>
    <w:rsid w:val="00FF2332"/>
    <w:rsid w:val="00FF33AC"/>
    <w:rsid w:val="00FF3C8E"/>
    <w:rsid w:val="065851F7"/>
    <w:rsid w:val="0A303EE9"/>
    <w:rsid w:val="0CEA7E1C"/>
    <w:rsid w:val="0F934B4A"/>
    <w:rsid w:val="12042B30"/>
    <w:rsid w:val="135B2E61"/>
    <w:rsid w:val="14752E57"/>
    <w:rsid w:val="1746219C"/>
    <w:rsid w:val="1ABC2CC2"/>
    <w:rsid w:val="1AC13CB4"/>
    <w:rsid w:val="239F1300"/>
    <w:rsid w:val="24443260"/>
    <w:rsid w:val="26F176CF"/>
    <w:rsid w:val="28F25980"/>
    <w:rsid w:val="2E341F8D"/>
    <w:rsid w:val="38282656"/>
    <w:rsid w:val="39D83C91"/>
    <w:rsid w:val="439C5CE7"/>
    <w:rsid w:val="462907DC"/>
    <w:rsid w:val="587576D5"/>
    <w:rsid w:val="58D92187"/>
    <w:rsid w:val="5C910A31"/>
    <w:rsid w:val="614B4109"/>
    <w:rsid w:val="622C43BF"/>
    <w:rsid w:val="701D465E"/>
    <w:rsid w:val="75507C16"/>
    <w:rsid w:val="78F9378E"/>
    <w:rsid w:val="7BD55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unhideWhenUsed/>
    <w:qFormat/>
    <w:uiPriority w:val="99"/>
    <w:pPr>
      <w:jc w:val="left"/>
    </w:pPr>
  </w:style>
  <w:style w:type="paragraph" w:styleId="3">
    <w:name w:val="toc 3"/>
    <w:basedOn w:val="1"/>
    <w:next w:val="1"/>
    <w:autoRedefine/>
    <w:semiHidden/>
    <w:unhideWhenUsed/>
    <w:qFormat/>
    <w:uiPriority w:val="39"/>
    <w:pPr>
      <w:ind w:left="840" w:leftChars="400"/>
    </w:pPr>
  </w:style>
  <w:style w:type="paragraph" w:styleId="4">
    <w:name w:val="Date"/>
    <w:basedOn w:val="1"/>
    <w:next w:val="1"/>
    <w:link w:val="14"/>
    <w:autoRedefine/>
    <w:semiHidden/>
    <w:unhideWhenUsed/>
    <w:qFormat/>
    <w:uiPriority w:val="99"/>
    <w:pPr>
      <w:ind w:left="100" w:leftChars="2500"/>
    </w:pPr>
  </w:style>
  <w:style w:type="paragraph" w:styleId="5">
    <w:name w:val="Balloon Text"/>
    <w:basedOn w:val="1"/>
    <w:link w:val="18"/>
    <w:autoRedefine/>
    <w:semiHidden/>
    <w:unhideWhenUsed/>
    <w:qFormat/>
    <w:uiPriority w:val="99"/>
    <w:rPr>
      <w:sz w:val="18"/>
      <w:szCs w:val="18"/>
    </w:rPr>
  </w:style>
  <w:style w:type="paragraph" w:styleId="6">
    <w:name w:val="footer"/>
    <w:basedOn w:val="1"/>
    <w:link w:val="17"/>
    <w:autoRedefine/>
    <w:unhideWhenUsed/>
    <w:qFormat/>
    <w:uiPriority w:val="99"/>
    <w:pPr>
      <w:tabs>
        <w:tab w:val="center" w:pos="4153"/>
        <w:tab w:val="right" w:pos="8306"/>
      </w:tabs>
      <w:snapToGrid w:val="0"/>
      <w:jc w:val="left"/>
    </w:pPr>
    <w:rPr>
      <w:sz w:val="18"/>
      <w:szCs w:val="18"/>
    </w:rPr>
  </w:style>
  <w:style w:type="paragraph" w:styleId="7">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semiHidden/>
    <w:unhideWhenUsed/>
    <w:qFormat/>
    <w:uiPriority w:val="39"/>
  </w:style>
  <w:style w:type="paragraph" w:styleId="9">
    <w:name w:val="toc 2"/>
    <w:basedOn w:val="1"/>
    <w:next w:val="1"/>
    <w:autoRedefine/>
    <w:semiHidden/>
    <w:unhideWhenUsed/>
    <w:qFormat/>
    <w:uiPriority w:val="39"/>
    <w:pPr>
      <w:ind w:left="420" w:leftChars="20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semiHidden/>
    <w:unhideWhenUsed/>
    <w:qFormat/>
    <w:uiPriority w:val="99"/>
    <w:rPr>
      <w:sz w:val="21"/>
      <w:szCs w:val="21"/>
    </w:rPr>
  </w:style>
  <w:style w:type="character" w:customStyle="1" w:styleId="14">
    <w:name w:val="日期 Char"/>
    <w:basedOn w:val="12"/>
    <w:link w:val="4"/>
    <w:autoRedefine/>
    <w:semiHidden/>
    <w:qFormat/>
    <w:uiPriority w:val="99"/>
  </w:style>
  <w:style w:type="paragraph" w:styleId="15">
    <w:name w:val="List Paragraph"/>
    <w:basedOn w:val="1"/>
    <w:autoRedefine/>
    <w:qFormat/>
    <w:uiPriority w:val="99"/>
    <w:pPr>
      <w:ind w:firstLine="420" w:firstLineChars="200"/>
    </w:pPr>
  </w:style>
  <w:style w:type="character" w:customStyle="1" w:styleId="16">
    <w:name w:val="页眉 Char"/>
    <w:basedOn w:val="12"/>
    <w:link w:val="7"/>
    <w:autoRedefine/>
    <w:qFormat/>
    <w:uiPriority w:val="99"/>
    <w:rPr>
      <w:sz w:val="18"/>
      <w:szCs w:val="18"/>
    </w:rPr>
  </w:style>
  <w:style w:type="character" w:customStyle="1" w:styleId="17">
    <w:name w:val="页脚 Char"/>
    <w:basedOn w:val="12"/>
    <w:link w:val="6"/>
    <w:autoRedefine/>
    <w:qFormat/>
    <w:uiPriority w:val="99"/>
    <w:rPr>
      <w:sz w:val="18"/>
      <w:szCs w:val="18"/>
    </w:rPr>
  </w:style>
  <w:style w:type="character" w:customStyle="1" w:styleId="18">
    <w:name w:val="批注框文本 Char"/>
    <w:basedOn w:val="12"/>
    <w:link w:val="5"/>
    <w:autoRedefine/>
    <w:semiHidden/>
    <w:qFormat/>
    <w:uiPriority w:val="99"/>
    <w:rPr>
      <w:sz w:val="18"/>
      <w:szCs w:val="18"/>
    </w:rPr>
  </w:style>
  <w:style w:type="paragraph" w:customStyle="1" w:styleId="19">
    <w:name w:val="WPSOffice手动目录 1"/>
    <w:autoRedefine/>
    <w:qFormat/>
    <w:uiPriority w:val="0"/>
    <w:rPr>
      <w:rFonts w:asciiTheme="minorHAnsi" w:hAnsiTheme="minorHAnsi" w:eastAsiaTheme="minorEastAsia" w:cstheme="minorBidi"/>
      <w:lang w:val="en-US" w:eastAsia="zh-CN" w:bidi="ar-SA"/>
    </w:rPr>
  </w:style>
  <w:style w:type="paragraph" w:customStyle="1" w:styleId="20">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21">
    <w:name w:val="WPSOffice手动目录 3"/>
    <w:autoRedefine/>
    <w:qFormat/>
    <w:uiPriority w:val="0"/>
    <w:pPr>
      <w:ind w:left="400" w:leftChars="4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1875</Words>
  <Characters>10694</Characters>
  <Lines>89</Lines>
  <Paragraphs>25</Paragraphs>
  <TotalTime>5</TotalTime>
  <ScaleCrop>false</ScaleCrop>
  <LinksUpToDate>false</LinksUpToDate>
  <CharactersWithSpaces>12544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2023-01-10T01:15:00Z</dcterms:created>
  <dc:creator>Administrator</dc:creator>
  <cp:lastModifiedBy>Mango</cp:lastModifiedBy>
  <cp:lastPrinted>2023-09-15T02:39:00Z</cp:lastPrinted>
  <dcterms:modified xsi:type="dcterms:W3CDTF">2024-04-22T02:27:01Z</dcterms:modified>
  <cp:revision>314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29BDB33945214B1F9867FB68B5B4A3C5_12</vt:lpwstr>
  </property>
</Properties>
</file>