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A8" w:rsidRPr="006674B7" w:rsidRDefault="006C0891" w:rsidP="00E774A8"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left"/>
        <w:textAlignment w:val="baseline"/>
        <w:outlineLvl w:val="1"/>
        <w:rPr>
          <w:rFonts w:ascii="Times New Roman" w:eastAsia="仿宋" w:hAnsi="Times New Roman" w:cs="Times New Roman"/>
          <w:bCs/>
          <w:color w:val="000000"/>
          <w:kern w:val="0"/>
          <w:sz w:val="36"/>
          <w:szCs w:val="36"/>
        </w:rPr>
      </w:pPr>
      <w:bookmarkStart w:id="0" w:name="_Toc118938462"/>
      <w:bookmarkStart w:id="1" w:name="_Toc122011909"/>
      <w:r>
        <w:rPr>
          <w:rFonts w:ascii="Times New Roman" w:eastAsia="仿宋" w:hAnsi="Times New Roman" w:cs="Times New Roman" w:hint="eastAsia"/>
          <w:bCs/>
          <w:color w:val="000000"/>
          <w:kern w:val="0"/>
          <w:sz w:val="36"/>
          <w:szCs w:val="36"/>
        </w:rPr>
        <w:t>8</w:t>
      </w:r>
      <w:r>
        <w:rPr>
          <w:rFonts w:ascii="Times New Roman" w:eastAsia="仿宋" w:hAnsi="Times New Roman" w:cs="Times New Roman" w:hint="eastAsia"/>
          <w:bCs/>
          <w:color w:val="000000"/>
          <w:kern w:val="0"/>
          <w:sz w:val="36"/>
          <w:szCs w:val="36"/>
        </w:rPr>
        <w:t>、</w:t>
      </w:r>
      <w:r w:rsidR="00E774A8" w:rsidRPr="006674B7">
        <w:rPr>
          <w:rFonts w:ascii="Times New Roman" w:eastAsia="仿宋" w:hAnsi="Times New Roman" w:cs="Times New Roman"/>
          <w:bCs/>
          <w:color w:val="000000"/>
          <w:kern w:val="0"/>
          <w:sz w:val="36"/>
          <w:szCs w:val="36"/>
        </w:rPr>
        <w:t>附件</w:t>
      </w:r>
      <w:bookmarkEnd w:id="0"/>
      <w:bookmarkEnd w:id="1"/>
      <w:r w:rsidR="00E774A8" w:rsidRPr="006674B7">
        <w:rPr>
          <w:rFonts w:ascii="Times New Roman" w:eastAsia="仿宋" w:hAnsi="Times New Roman" w:cs="Times New Roman"/>
          <w:bCs/>
          <w:color w:val="000000"/>
          <w:kern w:val="0"/>
          <w:sz w:val="36"/>
          <w:szCs w:val="36"/>
        </w:rPr>
        <w:t xml:space="preserve">          </w:t>
      </w:r>
    </w:p>
    <w:p w:rsidR="00E774A8" w:rsidRPr="00E774A8" w:rsidRDefault="0061139A" w:rsidP="00E774A8">
      <w:pPr>
        <w:widowControl/>
        <w:adjustRightInd w:val="0"/>
        <w:snapToGrid w:val="0"/>
        <w:jc w:val="center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61139A">
        <w:rPr>
          <w:rFonts w:ascii="Times New Roman" w:eastAsia="仿宋" w:hAnsi="Times New Roman" w:cs="Times New Roman" w:hint="eastAsia"/>
          <w:kern w:val="0"/>
          <w:sz w:val="28"/>
          <w:szCs w:val="28"/>
        </w:rPr>
        <w:t>赣州蓉江新区</w:t>
      </w:r>
      <w:r w:rsidRPr="0061139A">
        <w:rPr>
          <w:rFonts w:ascii="Times New Roman" w:eastAsia="仿宋" w:hAnsi="Times New Roman" w:cs="Times New Roman"/>
          <w:kern w:val="0"/>
          <w:sz w:val="28"/>
          <w:szCs w:val="28"/>
        </w:rPr>
        <w:t>2022</w:t>
      </w:r>
      <w:r w:rsidRPr="0061139A">
        <w:rPr>
          <w:rFonts w:ascii="Times New Roman" w:eastAsia="仿宋" w:hAnsi="Times New Roman" w:cs="Times New Roman"/>
          <w:kern w:val="0"/>
          <w:sz w:val="28"/>
          <w:szCs w:val="28"/>
        </w:rPr>
        <w:t>年赣州蓉江新城控制性详细规划编修工作项目</w:t>
      </w:r>
      <w:r w:rsidR="00E774A8" w:rsidRPr="00E774A8">
        <w:rPr>
          <w:rFonts w:ascii="Times New Roman" w:eastAsia="仿宋" w:hAnsi="Times New Roman" w:cs="Times New Roman"/>
          <w:kern w:val="0"/>
          <w:sz w:val="28"/>
          <w:szCs w:val="28"/>
        </w:rPr>
        <w:t>支出绩效评价指标体系</w:t>
      </w:r>
    </w:p>
    <w:tbl>
      <w:tblPr>
        <w:tblW w:w="143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8"/>
        <w:gridCol w:w="851"/>
        <w:gridCol w:w="567"/>
        <w:gridCol w:w="567"/>
        <w:gridCol w:w="3295"/>
        <w:gridCol w:w="2693"/>
        <w:gridCol w:w="4467"/>
        <w:gridCol w:w="567"/>
      </w:tblGrid>
      <w:tr w:rsidR="008445EB" w:rsidRPr="00E774A8" w:rsidTr="002C192D">
        <w:trPr>
          <w:trHeight w:val="495"/>
        </w:trPr>
        <w:tc>
          <w:tcPr>
            <w:tcW w:w="675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708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二级</w:t>
            </w:r>
          </w:p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指标</w:t>
            </w:r>
          </w:p>
        </w:tc>
        <w:tc>
          <w:tcPr>
            <w:tcW w:w="851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567" w:type="dxa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b/>
                <w:bCs/>
                <w:kern w:val="0"/>
                <w:sz w:val="15"/>
                <w:szCs w:val="15"/>
              </w:rPr>
              <w:t>目标值</w:t>
            </w:r>
          </w:p>
        </w:tc>
        <w:tc>
          <w:tcPr>
            <w:tcW w:w="567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分值</w:t>
            </w:r>
          </w:p>
        </w:tc>
        <w:tc>
          <w:tcPr>
            <w:tcW w:w="3295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指标说明</w:t>
            </w:r>
          </w:p>
        </w:tc>
        <w:tc>
          <w:tcPr>
            <w:tcW w:w="2693" w:type="dxa"/>
            <w:vAlign w:val="center"/>
          </w:tcPr>
          <w:p w:rsidR="008445EB" w:rsidRPr="00EF567F" w:rsidRDefault="008C3B21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kern w:val="0"/>
                <w:sz w:val="15"/>
                <w:szCs w:val="15"/>
              </w:rPr>
              <w:t>评分</w:t>
            </w:r>
            <w:r w:rsidR="008445EB"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标准</w:t>
            </w:r>
          </w:p>
        </w:tc>
        <w:tc>
          <w:tcPr>
            <w:tcW w:w="4467" w:type="dxa"/>
          </w:tcPr>
          <w:p w:rsidR="00EF567F" w:rsidRDefault="00EF567F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</w:p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b/>
                <w:bCs/>
                <w:kern w:val="0"/>
                <w:sz w:val="15"/>
                <w:szCs w:val="15"/>
              </w:rPr>
              <w:t>业绩值</w:t>
            </w:r>
          </w:p>
        </w:tc>
        <w:tc>
          <w:tcPr>
            <w:tcW w:w="567" w:type="dxa"/>
            <w:vAlign w:val="center"/>
          </w:tcPr>
          <w:p w:rsidR="008445EB" w:rsidRPr="00EF567F" w:rsidRDefault="008445E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  <w:t>得分</w:t>
            </w:r>
          </w:p>
        </w:tc>
      </w:tr>
      <w:tr w:rsidR="0020339A" w:rsidRPr="00E774A8" w:rsidTr="002C192D">
        <w:trPr>
          <w:trHeight w:val="924"/>
        </w:trPr>
        <w:tc>
          <w:tcPr>
            <w:tcW w:w="675" w:type="dxa"/>
            <w:vMerge w:val="restart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性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指标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Merge w:val="restart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目标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20339A" w:rsidRPr="00EF567F" w:rsidRDefault="0020339A" w:rsidP="0020339A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A1</w:t>
            </w:r>
            <w:r w:rsidR="00611334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绩效指标明确性</w:t>
            </w:r>
          </w:p>
        </w:tc>
        <w:tc>
          <w:tcPr>
            <w:tcW w:w="567" w:type="dxa"/>
          </w:tcPr>
          <w:p w:rsidR="0020339A" w:rsidRDefault="0020339A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EF567F" w:rsidRDefault="0020339A" w:rsidP="0020339A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①目标是否明确；</w:t>
            </w:r>
          </w:p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②目标是否细化，是否将项目绩效目标细化分解为具体的绩效指标；</w:t>
            </w:r>
          </w:p>
          <w:p w:rsidR="0020339A" w:rsidRPr="00EF567F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③目标是否量化，是否通过清晰、可衡量的指标</w:t>
            </w:r>
            <w:proofErr w:type="gramStart"/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值予以</w:t>
            </w:r>
            <w:proofErr w:type="gramEnd"/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现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20339A" w:rsidRDefault="0020339A" w:rsidP="008911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目标明确</w:t>
            </w:r>
            <w:r w:rsidR="0089110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89110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89110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8911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目标细化（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Pr="00EF567F" w:rsidRDefault="00891105" w:rsidP="008911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目标量化（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B24AD6" w:rsidRPr="009973AE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9973AE" w:rsidRDefault="00F5255A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B24AD6" w:rsidRPr="009973AE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9973AE" w:rsidRDefault="000C29B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20339A" w:rsidRPr="00E774A8" w:rsidTr="008A4539">
        <w:trPr>
          <w:trHeight w:val="796"/>
        </w:trPr>
        <w:tc>
          <w:tcPr>
            <w:tcW w:w="675" w:type="dxa"/>
            <w:vMerge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20339A" w:rsidRPr="00EF567F" w:rsidRDefault="0020339A" w:rsidP="0020339A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绩效指标科学合理性</w:t>
            </w:r>
          </w:p>
        </w:tc>
        <w:tc>
          <w:tcPr>
            <w:tcW w:w="567" w:type="dxa"/>
          </w:tcPr>
          <w:p w:rsidR="0020339A" w:rsidRDefault="0020339A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Default="0020339A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0339A" w:rsidRPr="00EF567F" w:rsidRDefault="0020339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①绩效指标的设置是否有充分的依据；</w:t>
            </w:r>
          </w:p>
          <w:p w:rsidR="0020339A" w:rsidRPr="0020339A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②是否与部门年度的任务数或计划数相对应；</w:t>
            </w:r>
          </w:p>
          <w:p w:rsidR="0020339A" w:rsidRPr="00EF567F" w:rsidRDefault="0020339A" w:rsidP="0020339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③是否与本年度部门预算资金相匹配。</w:t>
            </w:r>
          </w:p>
        </w:tc>
        <w:tc>
          <w:tcPr>
            <w:tcW w:w="2693" w:type="dxa"/>
            <w:vAlign w:val="center"/>
          </w:tcPr>
          <w:p w:rsidR="0020339A" w:rsidRDefault="00891105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绩效指标的设置</w:t>
            </w: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有充分的依据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与部门年度的任务数或计划数相对应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Pr="00EF567F" w:rsidRDefault="00891105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0339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与本年度部门预算资金相匹配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2040FB" w:rsidRPr="00EC5D61" w:rsidRDefault="002040F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EC5D61" w:rsidRDefault="00F5255A" w:rsidP="00AD24A1">
            <w:pPr>
              <w:widowControl/>
              <w:adjustRightInd w:val="0"/>
              <w:snapToGrid w:val="0"/>
              <w:spacing w:after="200"/>
              <w:ind w:firstLineChars="600" w:firstLine="9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与</w:t>
            </w:r>
            <w:r w:rsidR="002040FB"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计划数不对应</w:t>
            </w:r>
          </w:p>
        </w:tc>
        <w:tc>
          <w:tcPr>
            <w:tcW w:w="5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0339A" w:rsidRPr="00EC5D61" w:rsidRDefault="000E3038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E45F68" w:rsidRPr="00E774A8" w:rsidTr="008A4539">
        <w:trPr>
          <w:trHeight w:val="1402"/>
        </w:trPr>
        <w:tc>
          <w:tcPr>
            <w:tcW w:w="675" w:type="dxa"/>
            <w:vMerge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决策过程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C460A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决策依据</w:t>
            </w:r>
          </w:p>
        </w:tc>
        <w:tc>
          <w:tcPr>
            <w:tcW w:w="567" w:type="dxa"/>
          </w:tcPr>
          <w:p w:rsidR="00E45F68" w:rsidRDefault="00E45F68" w:rsidP="00EF567F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574BF6" w:rsidRDefault="00574BF6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E45F68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C192D" w:rsidRDefault="002C192D" w:rsidP="00D3753B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2C192D" w:rsidP="00D3753B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项目立项是否符合国家法律法规、国民经济发展规划、行业发展规划和相关政策；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项目立项是否与部门职责范围相符，属于部门履职所需；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是否根据需要制定中长期实施规划。</w:t>
            </w:r>
          </w:p>
        </w:tc>
        <w:tc>
          <w:tcPr>
            <w:tcW w:w="2693" w:type="dxa"/>
            <w:vAlign w:val="center"/>
          </w:tcPr>
          <w:p w:rsidR="00E45F68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符合国家法律法规、国民经济发展规划、行业发展规划和相关政策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项目立项与部门职责范围相符，属于部门履职所需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根据需要制定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中长期实施规划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91105" w:rsidRPr="00EF567F" w:rsidRDefault="00891105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E45F68" w:rsidRPr="00EC5D61" w:rsidRDefault="00E45F68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837F1" w:rsidRPr="00EC5D61" w:rsidRDefault="002837F1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4AD6" w:rsidRPr="00EC5D61" w:rsidRDefault="00EC5D61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837F1" w:rsidRPr="00EC5D61" w:rsidRDefault="002837F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C5D61" w:rsidRDefault="00EC5D6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E45F68" w:rsidRPr="00E774A8" w:rsidTr="00D3753B">
        <w:trPr>
          <w:trHeight w:val="695"/>
        </w:trPr>
        <w:tc>
          <w:tcPr>
            <w:tcW w:w="675" w:type="dxa"/>
            <w:vMerge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决策程序</w:t>
            </w:r>
          </w:p>
        </w:tc>
        <w:tc>
          <w:tcPr>
            <w:tcW w:w="567" w:type="dxa"/>
          </w:tcPr>
          <w:p w:rsidR="002C192D" w:rsidRDefault="002C192D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E45F68" w:rsidP="002C192D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2C192D" w:rsidRDefault="002C192D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F567F" w:rsidRDefault="002C192D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项目是否符合申报条件；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申报、批复程序是否符合相关管理办法；</w:t>
            </w:r>
          </w:p>
          <w:p w:rsidR="00E45F68" w:rsidRPr="00EF567F" w:rsidRDefault="00E45F6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项目调整是否履行相应手续。</w:t>
            </w:r>
          </w:p>
        </w:tc>
        <w:tc>
          <w:tcPr>
            <w:tcW w:w="2693" w:type="dxa"/>
            <w:vAlign w:val="center"/>
          </w:tcPr>
          <w:p w:rsidR="00E45F68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符合申报条件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申报、批复程序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符合相关管理办法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Pr="00EF567F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项目调整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履行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相应手续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C5D61" w:rsidRDefault="00254113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B24AD6" w:rsidRPr="00EC5D61" w:rsidRDefault="00B24AD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45F68" w:rsidRPr="00EC5D61" w:rsidRDefault="00254113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F00C02" w:rsidRPr="00E774A8" w:rsidTr="00D3753B">
        <w:trPr>
          <w:trHeight w:val="906"/>
        </w:trPr>
        <w:tc>
          <w:tcPr>
            <w:tcW w:w="675" w:type="dxa"/>
            <w:vMerge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资金分配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A3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分配办法</w:t>
            </w:r>
          </w:p>
        </w:tc>
        <w:tc>
          <w:tcPr>
            <w:tcW w:w="567" w:type="dxa"/>
          </w:tcPr>
          <w:p w:rsidR="00F00C02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F00C02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F00C02" w:rsidRPr="00EF567F" w:rsidRDefault="00F00C02" w:rsidP="00D3753B">
            <w:pPr>
              <w:widowControl/>
              <w:adjustRightInd w:val="0"/>
              <w:snapToGrid w:val="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F00C02" w:rsidRPr="00EF567F" w:rsidRDefault="00F00C02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F00C02" w:rsidRPr="00EF567F" w:rsidRDefault="00F00C02" w:rsidP="00C5643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预算资金分配是否有测算依据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；</w:t>
            </w:r>
          </w:p>
          <w:p w:rsidR="00F00C02" w:rsidRPr="00EF567F" w:rsidRDefault="00F00C02" w:rsidP="003538D2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②资金分配额度是否合理；</w:t>
            </w:r>
          </w:p>
          <w:p w:rsidR="00F00C02" w:rsidRPr="00EF567F" w:rsidRDefault="00F00C02" w:rsidP="004E121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③资金分配是否与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单位或地方实际相适应。</w:t>
            </w:r>
          </w:p>
        </w:tc>
        <w:tc>
          <w:tcPr>
            <w:tcW w:w="2693" w:type="dxa"/>
            <w:vAlign w:val="center"/>
          </w:tcPr>
          <w:p w:rsidR="00F00C02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预算资金分配有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相关的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测算依据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）</w:t>
            </w:r>
          </w:p>
          <w:p w:rsidR="0035292D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资金分配额度合理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资金分配与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单位或地方实际相适应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35292D" w:rsidRPr="00EF567F" w:rsidRDefault="0035292D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F00C02" w:rsidRPr="00EC5D61" w:rsidRDefault="00F00C02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EC5D61" w:rsidRDefault="000E3038" w:rsidP="00AD24A1">
            <w:pPr>
              <w:widowControl/>
              <w:adjustRightInd w:val="0"/>
              <w:snapToGrid w:val="0"/>
              <w:spacing w:after="200"/>
              <w:ind w:firstLineChars="650" w:firstLine="9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C5D6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F00C02" w:rsidRPr="00EC5D61" w:rsidRDefault="00F00C02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EC5D61" w:rsidRDefault="000E3038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871058" w:rsidRPr="00E774A8" w:rsidTr="00955288">
        <w:trPr>
          <w:trHeight w:val="1542"/>
        </w:trPr>
        <w:tc>
          <w:tcPr>
            <w:tcW w:w="675" w:type="dxa"/>
            <w:vMerge w:val="restart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B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管理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性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指标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Merge w:val="restart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落实（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到位率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C03AE" w:rsidRDefault="00EC03A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871058" w:rsidRPr="00EF567F" w:rsidRDefault="00F00C02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871058" w:rsidRPr="00EF567F" w:rsidRDefault="00955288" w:rsidP="00955288">
            <w:pPr>
              <w:widowControl/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实际到位资金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/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计划投入资金</w:t>
            </w:r>
            <w:r w:rsidR="00871058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实际到位资金：一定时期（本年度或项目期）内实际落实到具体项目的资金。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计划投入资金：一定时期（本年度或项目期）内计划投入到具体项目的资金。</w:t>
            </w:r>
          </w:p>
        </w:tc>
        <w:tc>
          <w:tcPr>
            <w:tcW w:w="2693" w:type="dxa"/>
            <w:vAlign w:val="center"/>
          </w:tcPr>
          <w:p w:rsidR="00955288" w:rsidRPr="00EF567F" w:rsidRDefault="00955288" w:rsidP="0095528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380952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955288" w:rsidRPr="00EF567F" w:rsidRDefault="00955288" w:rsidP="0095528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90%≤</w:t>
            </w:r>
            <w:r w:rsidR="00380952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380952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955288" w:rsidP="00380952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80%≤</w:t>
            </w:r>
            <w:r w:rsidR="00380952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资金到位率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380952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1820D9" w:rsidRDefault="00FA6471" w:rsidP="00AD24A1">
            <w:pPr>
              <w:widowControl/>
              <w:adjustRightInd w:val="0"/>
              <w:snapToGrid w:val="0"/>
              <w:spacing w:after="200"/>
              <w:ind w:firstLineChars="1050" w:firstLine="15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28.86</w:t>
            </w:r>
            <w:r w:rsidR="006F7816" w:rsidRPr="001820D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6F7816" w:rsidRPr="001820D9" w:rsidRDefault="006F781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1820D9" w:rsidRDefault="00FA647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</w:p>
        </w:tc>
      </w:tr>
      <w:tr w:rsidR="00871058" w:rsidRPr="00E774A8" w:rsidTr="002C192D">
        <w:trPr>
          <w:trHeight w:val="945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871058" w:rsidRPr="00EF567F" w:rsidRDefault="00F00C02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317E3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预算执行金额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/</w:t>
            </w:r>
            <w:r w:rsidR="00633FF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预算金额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×100%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</w:t>
            </w:r>
            <w:r w:rsidR="00574BF6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80%≤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预算执行率＜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90%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（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EC03AE" w:rsidRPr="00E317E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317E3" w:rsidRDefault="00FA6471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</w:t>
            </w:r>
            <w:r w:rsidR="00633FFB" w:rsidRPr="00E317E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EC03AE" w:rsidRPr="00E317E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317E3" w:rsidRDefault="00FA6471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871058" w:rsidRPr="00E774A8" w:rsidTr="002C192D">
        <w:trPr>
          <w:trHeight w:val="114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资金管理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资金使用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资金的拨付是否有完整的审批程序和手续；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②是否实行专账管理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③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是否符合项目预算批复或合同规定的用途；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④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</w:t>
            </w:r>
            <w:r w:rsidR="0025411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存在支出依据不合</w:t>
            </w:r>
            <w:proofErr w:type="gramStart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规</w:t>
            </w:r>
            <w:proofErr w:type="gramEnd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、虚列项目支出的情况；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</w:t>
            </w:r>
            <w:r w:rsidR="0025411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存在截留、挤占、挪用项目资金情况；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⑥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</w:t>
            </w:r>
            <w:r w:rsidR="0025411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不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存在超标准开支情况。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资金的拨付有完整的审批程序和手续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资金实行专账管理（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资金使用符合项目预算批复或合同规定的用途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支出依据合</w:t>
            </w:r>
            <w:proofErr w:type="gramStart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规</w:t>
            </w:r>
            <w:proofErr w:type="gramEnd"/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截留、挤占、挪用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项目资金情况（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77764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超标准开支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情况（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EC03AE" w:rsidRPr="0062349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5329AD" w:rsidRPr="00623493" w:rsidRDefault="005329A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623493" w:rsidRDefault="00FA6471" w:rsidP="00AD24A1">
            <w:pPr>
              <w:widowControl/>
              <w:adjustRightInd w:val="0"/>
              <w:snapToGrid w:val="0"/>
              <w:spacing w:after="200"/>
              <w:ind w:firstLineChars="250" w:firstLine="3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62349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EC03AE" w:rsidRPr="00623493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623493" w:rsidRDefault="00FA647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</w:tr>
      <w:tr w:rsidR="00871058" w:rsidRPr="00E774A8" w:rsidTr="002C192D">
        <w:trPr>
          <w:trHeight w:val="84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财务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管理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6B5515" w:rsidRDefault="006B5515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C94DDC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FE1B4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bookmarkStart w:id="2" w:name="_Hlk121737197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资金管理、费用支出</w:t>
            </w:r>
            <w:bookmarkEnd w:id="2"/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等制度是否健全和细化，是否严格执行；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会计核算是否规范。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财务制度健全、严格执行制度（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会计核算规范（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EC03AE" w:rsidRPr="003B319F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3B319F" w:rsidRDefault="00254113" w:rsidP="00AD24A1">
            <w:pPr>
              <w:widowControl/>
              <w:adjustRightInd w:val="0"/>
              <w:snapToGrid w:val="0"/>
              <w:spacing w:after="200"/>
              <w:ind w:firstLineChars="1300" w:firstLine="19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B31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3B319F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3B319F" w:rsidRDefault="00C94DDC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</w:p>
        </w:tc>
      </w:tr>
      <w:tr w:rsidR="00871058" w:rsidRPr="00E774A8" w:rsidTr="002C192D">
        <w:trPr>
          <w:trHeight w:val="569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871058" w:rsidRPr="00EF567F" w:rsidRDefault="00871058" w:rsidP="00EF567F">
            <w:pPr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组织实施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组织机构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71058" w:rsidRPr="00EF567F" w:rsidRDefault="00C94DDC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机构是否健全、分工是否明确</w:t>
            </w:r>
          </w:p>
        </w:tc>
        <w:tc>
          <w:tcPr>
            <w:tcW w:w="2693" w:type="dxa"/>
            <w:vAlign w:val="center"/>
          </w:tcPr>
          <w:p w:rsidR="00F016A0" w:rsidRDefault="00F016A0" w:rsidP="00F016A0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机构健全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907BD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907BD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分工明确</w:t>
            </w:r>
            <w:r w:rsidR="00F016A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907BD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F016A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07BD1" w:rsidP="00AD24A1">
            <w:pPr>
              <w:widowControl/>
              <w:adjustRightInd w:val="0"/>
              <w:snapToGrid w:val="0"/>
              <w:spacing w:after="200"/>
              <w:ind w:firstLineChars="1350" w:firstLine="20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07BD1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2C192D">
        <w:trPr>
          <w:trHeight w:val="45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F567F">
            <w:pPr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管理制度</w:t>
            </w:r>
          </w:p>
        </w:tc>
        <w:tc>
          <w:tcPr>
            <w:tcW w:w="567" w:type="dxa"/>
          </w:tcPr>
          <w:p w:rsidR="00871058" w:rsidRDefault="00871058" w:rsidP="00101E34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101E34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是否建立健全项目管理制度；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FD5F31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是否严格执行相关法律法规和业务管理规定</w:t>
            </w:r>
            <w:r w:rsid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建立健全项目管理制度（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严格执行相关项目管理制度（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101E34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C1915" w:rsidP="00AD24A1">
            <w:pPr>
              <w:widowControl/>
              <w:adjustRightInd w:val="0"/>
              <w:snapToGrid w:val="0"/>
              <w:spacing w:after="200"/>
              <w:ind w:firstLineChars="1300" w:firstLine="19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EC03AE" w:rsidRPr="00095F81" w:rsidRDefault="00EC03AE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095F81" w:rsidRDefault="009C191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2C192D">
        <w:trPr>
          <w:trHeight w:val="56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F567F">
            <w:pPr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D81BFB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="001F45C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资金拨付及时性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506B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FA2D7F" w:rsidRDefault="00FA2D7F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FA2D7F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FD5F31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FD5F3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评价项目单位经费发放的情况，用以反映项目单位是否按规定时间、规定方式足额发放到位。</w:t>
            </w:r>
          </w:p>
        </w:tc>
        <w:tc>
          <w:tcPr>
            <w:tcW w:w="2693" w:type="dxa"/>
            <w:vAlign w:val="center"/>
          </w:tcPr>
          <w:p w:rsidR="009656AA" w:rsidRPr="00EF567F" w:rsidRDefault="008506BA" w:rsidP="003E4CE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是否按规定时间</w:t>
            </w:r>
            <w:r w:rsidR="00FA2D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完成资金拨付</w:t>
            </w:r>
            <w:r w:rsidR="009656A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="009656A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="009656AA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FA2D7F" w:rsidRPr="008506BA" w:rsidRDefault="00FA2D7F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8506BA" w:rsidRDefault="009C1915" w:rsidP="00175060">
            <w:pPr>
              <w:widowControl/>
              <w:adjustRightInd w:val="0"/>
              <w:snapToGrid w:val="0"/>
              <w:spacing w:after="200"/>
              <w:ind w:firstLineChars="700" w:firstLine="10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        </w:t>
            </w:r>
            <w:r w:rsidR="0017506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否</w:t>
            </w:r>
          </w:p>
        </w:tc>
        <w:tc>
          <w:tcPr>
            <w:tcW w:w="567" w:type="dxa"/>
          </w:tcPr>
          <w:p w:rsidR="00FA2D7F" w:rsidRPr="008506BA" w:rsidRDefault="00FA2D7F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8506BA" w:rsidRDefault="00175060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</w:p>
        </w:tc>
      </w:tr>
      <w:tr w:rsidR="00871058" w:rsidRPr="00E774A8" w:rsidTr="00106D63">
        <w:trPr>
          <w:trHeight w:val="730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公示情况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891105" w:rsidRDefault="00891105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095F81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91105" w:rsidP="00AD5A0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是否按规定对项目情况进行公示。</w:t>
            </w:r>
          </w:p>
        </w:tc>
        <w:tc>
          <w:tcPr>
            <w:tcW w:w="2693" w:type="dxa"/>
            <w:vAlign w:val="center"/>
          </w:tcPr>
          <w:p w:rsidR="00871058" w:rsidRPr="00EF567F" w:rsidRDefault="00891105" w:rsidP="007A40C3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按规定对项目情况进行公示（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 w:rsidR="00891105" w:rsidRPr="00C94DDC" w:rsidRDefault="0089110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C94DDC" w:rsidRDefault="00C94DDC" w:rsidP="00AD24A1">
            <w:pPr>
              <w:widowControl/>
              <w:adjustRightInd w:val="0"/>
              <w:snapToGrid w:val="0"/>
              <w:spacing w:after="200"/>
              <w:ind w:firstLineChars="1300" w:firstLine="19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891105" w:rsidRPr="00C94DDC" w:rsidRDefault="0089110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C94DDC" w:rsidRDefault="00C94DDC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871058" w:rsidRPr="00E774A8" w:rsidTr="00106D63">
        <w:trPr>
          <w:trHeight w:val="798"/>
        </w:trPr>
        <w:tc>
          <w:tcPr>
            <w:tcW w:w="675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B3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监督检查</w:t>
            </w:r>
          </w:p>
        </w:tc>
        <w:tc>
          <w:tcPr>
            <w:tcW w:w="567" w:type="dxa"/>
          </w:tcPr>
          <w:p w:rsidR="00871058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EF567F" w:rsidRDefault="00871058" w:rsidP="00871058">
            <w:pPr>
              <w:widowControl/>
              <w:adjustRightInd w:val="0"/>
              <w:snapToGrid w:val="0"/>
              <w:spacing w:after="200"/>
              <w:ind w:firstLineChars="50" w:firstLine="75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 w:rsidR="00871058" w:rsidRPr="00EF567F" w:rsidRDefault="00871058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项目主管部门对项目实施情况是否进行监督管理。</w:t>
            </w:r>
          </w:p>
        </w:tc>
        <w:tc>
          <w:tcPr>
            <w:tcW w:w="2693" w:type="dxa"/>
            <w:vAlign w:val="center"/>
          </w:tcPr>
          <w:p w:rsidR="00871058" w:rsidRPr="00EF567F" w:rsidRDefault="00871058" w:rsidP="00D43C37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br/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定期或不定期组织对资金发放情况的专项检查或抽查（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br/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对专项检查或抽查发现的问题及时进行整改（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  <w:p w:rsidR="00871058" w:rsidRPr="00EF567F" w:rsidRDefault="00871058" w:rsidP="00D43C37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A471C3" w:rsidRPr="00907BD1" w:rsidRDefault="00A471C3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907BD1" w:rsidRDefault="008E1969" w:rsidP="00AD24A1">
            <w:pPr>
              <w:widowControl/>
              <w:adjustRightInd w:val="0"/>
              <w:snapToGrid w:val="0"/>
              <w:spacing w:after="200"/>
              <w:ind w:firstLineChars="1100" w:firstLine="16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A471C3" w:rsidRPr="00907BD1" w:rsidRDefault="00A471C3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871058" w:rsidRPr="00907BD1" w:rsidRDefault="008E1969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</w:p>
        </w:tc>
      </w:tr>
      <w:tr w:rsidR="001043B6" w:rsidRPr="00E774A8" w:rsidTr="00106D63">
        <w:trPr>
          <w:trHeight w:val="935"/>
        </w:trPr>
        <w:tc>
          <w:tcPr>
            <w:tcW w:w="675" w:type="dxa"/>
            <w:vMerge w:val="restart"/>
            <w:vAlign w:val="center"/>
          </w:tcPr>
          <w:p w:rsidR="001043B6" w:rsidRPr="00EF567F" w:rsidRDefault="001043B6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产出性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指标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32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Align w:val="center"/>
          </w:tcPr>
          <w:p w:rsidR="001043B6" w:rsidRPr="00EF567F" w:rsidRDefault="001043B6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数量指标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1043B6" w:rsidRPr="00EF567F" w:rsidRDefault="001043B6" w:rsidP="0084093E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8E1969" w:rsidRP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修编范围</w:t>
            </w:r>
          </w:p>
        </w:tc>
        <w:tc>
          <w:tcPr>
            <w:tcW w:w="567" w:type="dxa"/>
          </w:tcPr>
          <w:p w:rsidR="001043B6" w:rsidRDefault="001043B6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43B6" w:rsidRPr="00EF567F" w:rsidRDefault="008E1969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Pr="008E1969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77.03</w:t>
            </w:r>
            <w:r w:rsidRPr="008E1969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平方公里</w:t>
            </w:r>
          </w:p>
        </w:tc>
        <w:tc>
          <w:tcPr>
            <w:tcW w:w="567" w:type="dxa"/>
            <w:vAlign w:val="center"/>
          </w:tcPr>
          <w:p w:rsidR="001043B6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1043B6" w:rsidRPr="00EF567F" w:rsidRDefault="008E1969" w:rsidP="008E1969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是否按计划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完成编修范围全部规划设计</w:t>
            </w:r>
            <w:r w:rsidR="001043B6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 w:rsidR="001043B6" w:rsidRPr="00EF567F" w:rsidRDefault="00175060" w:rsidP="00175060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每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减少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扣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</w:t>
            </w:r>
          </w:p>
        </w:tc>
        <w:tc>
          <w:tcPr>
            <w:tcW w:w="4467" w:type="dxa"/>
          </w:tcPr>
          <w:p w:rsidR="00933ECA" w:rsidRPr="0084093E" w:rsidRDefault="00933ECA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43B6" w:rsidRPr="0084093E" w:rsidRDefault="00175060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8E1969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77.03</w:t>
            </w:r>
            <w:r w:rsidRPr="008E1969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平方公里</w:t>
            </w:r>
          </w:p>
        </w:tc>
        <w:tc>
          <w:tcPr>
            <w:tcW w:w="567" w:type="dxa"/>
          </w:tcPr>
          <w:p w:rsidR="00C61385" w:rsidRPr="0084093E" w:rsidRDefault="00C61385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43B6" w:rsidRPr="0084093E" w:rsidRDefault="0084093E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106D63" w:rsidRPr="00E774A8" w:rsidTr="0033461B">
        <w:trPr>
          <w:trHeight w:val="1128"/>
        </w:trPr>
        <w:tc>
          <w:tcPr>
            <w:tcW w:w="675" w:type="dxa"/>
            <w:vMerge/>
            <w:vAlign w:val="center"/>
          </w:tcPr>
          <w:p w:rsidR="00106D63" w:rsidRPr="00EF567F" w:rsidRDefault="00106D63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106D63" w:rsidRPr="00EF567F" w:rsidRDefault="00106D63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质量指标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106D63" w:rsidRPr="00EF567F" w:rsidRDefault="00106D63" w:rsidP="008E1969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成果合格性</w:t>
            </w:r>
          </w:p>
        </w:tc>
        <w:tc>
          <w:tcPr>
            <w:tcW w:w="567" w:type="dxa"/>
          </w:tcPr>
          <w:p w:rsidR="00106D63" w:rsidRDefault="00106D63" w:rsidP="00106D63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6D63" w:rsidRDefault="008E6B17" w:rsidP="00106D63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合格</w:t>
            </w:r>
          </w:p>
        </w:tc>
        <w:tc>
          <w:tcPr>
            <w:tcW w:w="567" w:type="dxa"/>
            <w:vAlign w:val="center"/>
          </w:tcPr>
          <w:p w:rsidR="00106D63" w:rsidRDefault="00106D63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6D63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106D63" w:rsidRPr="00EF567F" w:rsidRDefault="008E1969" w:rsidP="00675EE3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提交的成果是否符合要求，通过验收</w:t>
            </w:r>
          </w:p>
        </w:tc>
        <w:tc>
          <w:tcPr>
            <w:tcW w:w="2693" w:type="dxa"/>
            <w:vAlign w:val="center"/>
          </w:tcPr>
          <w:p w:rsidR="00106D63" w:rsidRPr="00EF567F" w:rsidRDefault="008E1969" w:rsidP="008E1969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“是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”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得</w:t>
            </w:r>
            <w:r w:rsidR="0010419D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106D63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、“否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”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</w:tcPr>
          <w:p w:rsidR="009C3E9F" w:rsidRDefault="009C3E9F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6D63" w:rsidRPr="009973AE" w:rsidRDefault="008E1969" w:rsidP="00AD24A1">
            <w:pPr>
              <w:widowControl/>
              <w:adjustRightInd w:val="0"/>
              <w:snapToGrid w:val="0"/>
              <w:spacing w:after="200"/>
              <w:ind w:firstLineChars="1250" w:firstLine="18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106D63" w:rsidRPr="009973AE" w:rsidRDefault="00106D63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</w:p>
          <w:p w:rsidR="00106D63" w:rsidRPr="009973AE" w:rsidRDefault="009C3E9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B20F8B" w:rsidRPr="00E774A8" w:rsidTr="001043B6">
        <w:trPr>
          <w:trHeight w:val="112"/>
        </w:trPr>
        <w:tc>
          <w:tcPr>
            <w:tcW w:w="675" w:type="dxa"/>
            <w:vMerge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B20F8B" w:rsidRPr="00EF567F" w:rsidRDefault="00B20F8B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时效指标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B20F8B" w:rsidRPr="00EF567F" w:rsidRDefault="00B20F8B" w:rsidP="00B20F8B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="00101E34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实施及时</w:t>
            </w:r>
            <w:r w:rsidR="0033461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性</w:t>
            </w:r>
          </w:p>
        </w:tc>
        <w:tc>
          <w:tcPr>
            <w:tcW w:w="567" w:type="dxa"/>
          </w:tcPr>
          <w:p w:rsidR="0033461B" w:rsidRDefault="0033461B" w:rsidP="00101E34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Default="0033461B" w:rsidP="00101E34">
            <w:pPr>
              <w:widowControl/>
              <w:adjustRightInd w:val="0"/>
              <w:snapToGrid w:val="0"/>
              <w:spacing w:after="20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及时</w:t>
            </w:r>
          </w:p>
        </w:tc>
        <w:tc>
          <w:tcPr>
            <w:tcW w:w="567" w:type="dxa"/>
            <w:vAlign w:val="center"/>
          </w:tcPr>
          <w:p w:rsidR="00B20F8B" w:rsidRDefault="00B20F8B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33461B" w:rsidRPr="00381795" w:rsidRDefault="0033461B" w:rsidP="00B20F8B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3461B" w:rsidP="00B20F8B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是否按计划实施、完成工作任务</w:t>
            </w:r>
            <w:r w:rsidR="00B20F8B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33461B" w:rsidRPr="00381795" w:rsidRDefault="0033461B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3461B" w:rsidP="008E1969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 w:rsidR="0038179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分，超时</w:t>
            </w:r>
            <w:r w:rsidR="006B551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＜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一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个月得</w:t>
            </w:r>
            <w:r w:rsidR="0038179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="006B5515"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分，超时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一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个月以上得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0</w:t>
            </w: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</w:tcPr>
          <w:p w:rsidR="0033461B" w:rsidRPr="00381795" w:rsidRDefault="0033461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8E1969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</w:tcPr>
          <w:p w:rsidR="0033461B" w:rsidRPr="00381795" w:rsidRDefault="0033461B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0F8B" w:rsidRPr="00381795" w:rsidRDefault="00381795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38179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101E34" w:rsidRPr="00E774A8" w:rsidTr="001B7B8E">
        <w:trPr>
          <w:trHeight w:val="560"/>
        </w:trPr>
        <w:tc>
          <w:tcPr>
            <w:tcW w:w="675" w:type="dxa"/>
            <w:vMerge/>
            <w:vAlign w:val="center"/>
          </w:tcPr>
          <w:p w:rsidR="00101E34" w:rsidRPr="00EF567F" w:rsidRDefault="00101E34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101E34" w:rsidRPr="00EF567F" w:rsidRDefault="00101E34" w:rsidP="00101E34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成本指标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（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101E34" w:rsidRPr="00EF567F" w:rsidRDefault="00101E34" w:rsidP="008E1969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C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成本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控制</w:t>
            </w:r>
            <w:r w:rsidR="006B55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率</w:t>
            </w:r>
          </w:p>
        </w:tc>
        <w:tc>
          <w:tcPr>
            <w:tcW w:w="567" w:type="dxa"/>
          </w:tcPr>
          <w:p w:rsidR="00101E34" w:rsidRDefault="00101E34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1E34" w:rsidRPr="00EF567F" w:rsidRDefault="008E1969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≤</w:t>
            </w:r>
            <w:r w:rsidR="00101E34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 w:rsidR="00101E34" w:rsidRDefault="00101E34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1E34" w:rsidRPr="00EF567F" w:rsidRDefault="0084093E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 w:rsidR="00101E34" w:rsidRPr="00EF567F" w:rsidRDefault="00101E34" w:rsidP="008E1969">
            <w:pPr>
              <w:widowControl/>
              <w:adjustRightInd w:val="0"/>
              <w:snapToGrid w:val="0"/>
              <w:ind w:left="75" w:hangingChars="50" w:hanging="75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成本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控制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率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=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实际</w:t>
            </w:r>
            <w:r w:rsidR="00EA22C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支出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金额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/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计划支出</w:t>
            </w:r>
            <w:r w:rsidR="0068407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金额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2693" w:type="dxa"/>
            <w:vAlign w:val="center"/>
          </w:tcPr>
          <w:p w:rsidR="00101E34" w:rsidRDefault="00101E34" w:rsidP="008D5D6E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01E34" w:rsidRPr="00EF567F" w:rsidRDefault="00101E34" w:rsidP="008D5D6E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成本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控制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率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≤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100%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的，得</w:t>
            </w:r>
            <w:r w:rsidR="00E43DC3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  <w:r w:rsidR="00A92C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。每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增加</w:t>
            </w:r>
            <w:r w:rsidR="008E1969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扣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 xml:space="preserve"> 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</w:t>
            </w:r>
          </w:p>
          <w:p w:rsidR="00101E34" w:rsidRPr="00EF567F" w:rsidRDefault="00101E34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101E34" w:rsidRPr="009973AE" w:rsidRDefault="00101E3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</w:p>
          <w:p w:rsidR="00101E34" w:rsidRPr="009973AE" w:rsidRDefault="008E1969" w:rsidP="00AD24A1">
            <w:pPr>
              <w:widowControl/>
              <w:adjustRightInd w:val="0"/>
              <w:snapToGrid w:val="0"/>
              <w:spacing w:after="200"/>
              <w:ind w:firstLineChars="1150" w:firstLine="172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98.72</w:t>
            </w:r>
            <w:r w:rsidR="009C3E9F" w:rsidRPr="0084093E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</w:tcPr>
          <w:p w:rsidR="00101E34" w:rsidRPr="009973AE" w:rsidRDefault="00101E3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</w:p>
          <w:p w:rsidR="00101E34" w:rsidRPr="009973AE" w:rsidRDefault="009C3E9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  <w:highlight w:val="yellow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</w:tr>
      <w:tr w:rsidR="007248EA" w:rsidRPr="00E774A8" w:rsidTr="001B7B8E">
        <w:trPr>
          <w:trHeight w:val="690"/>
        </w:trPr>
        <w:tc>
          <w:tcPr>
            <w:tcW w:w="675" w:type="dxa"/>
            <w:vMerge w:val="restart"/>
            <w:vAlign w:val="center"/>
          </w:tcPr>
          <w:p w:rsidR="007248EA" w:rsidRPr="00EF567F" w:rsidRDefault="007248EA" w:rsidP="00E774A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效果性指标（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28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08" w:type="dxa"/>
            <w:vMerge w:val="restart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项目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效益（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18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7248EA" w:rsidRPr="00EF567F" w:rsidRDefault="007248EA" w:rsidP="007248EA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经济效益</w:t>
            </w:r>
          </w:p>
        </w:tc>
        <w:tc>
          <w:tcPr>
            <w:tcW w:w="567" w:type="dxa"/>
          </w:tcPr>
          <w:p w:rsidR="007248EA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D51A61" w:rsidRDefault="00D51A61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D51A61" w:rsidRDefault="00D51A61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D51A61" w:rsidRPr="003F1637" w:rsidRDefault="007B255F" w:rsidP="003F1637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="009C3E9F" w:rsidRPr="003F1637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</w:t>
            </w:r>
            <w:r w:rsidR="00D51A61" w:rsidRPr="003F1637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过项目实施，是否</w:t>
            </w:r>
            <w:r w:rsidR="003F1637" w:rsidRPr="003F1637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有利于促进区域经济发展</w:t>
            </w:r>
            <w:r w:rsidR="00D51A61" w:rsidRPr="003F1637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  <w:r w:rsidR="00D51A61" w:rsidRPr="003F1637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 xml:space="preserve">          </w:t>
            </w:r>
          </w:p>
          <w:p w:rsidR="00D51A61" w:rsidRPr="009C3E9F" w:rsidRDefault="00AD24A1" w:rsidP="009C3E9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D51A61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项目实施，是否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节约了成本费用，减少了浪费和损失</w:t>
            </w:r>
            <w:r w:rsidR="009C3E9F"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  <w:p w:rsidR="007248EA" w:rsidRPr="00EF567F" w:rsidRDefault="007248EA" w:rsidP="00265DCA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7248EA" w:rsidRPr="00EF567F" w:rsidRDefault="000D5EC4" w:rsidP="009C3E9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分，每个未</w:t>
            </w:r>
            <w:proofErr w:type="gramStart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达标项扣</w:t>
            </w:r>
            <w:r w:rsid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proofErr w:type="gramEnd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，扣完为止。</w:t>
            </w:r>
          </w:p>
        </w:tc>
        <w:tc>
          <w:tcPr>
            <w:tcW w:w="4467" w:type="dxa"/>
          </w:tcPr>
          <w:p w:rsidR="000D5EC4" w:rsidRPr="009C3E9F" w:rsidRDefault="000D5EC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9C3E9F" w:rsidRDefault="000D5EC4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0D5EC4" w:rsidRPr="009C3E9F" w:rsidRDefault="000D5EC4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9C3E9F" w:rsidRDefault="000D5EC4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9C3E9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</w:tr>
      <w:tr w:rsidR="00141A2D" w:rsidRPr="00E774A8" w:rsidTr="002C192D">
        <w:trPr>
          <w:trHeight w:val="390"/>
        </w:trPr>
        <w:tc>
          <w:tcPr>
            <w:tcW w:w="675" w:type="dxa"/>
            <w:vMerge/>
            <w:vAlign w:val="center"/>
          </w:tcPr>
          <w:p w:rsidR="00141A2D" w:rsidRPr="00EF567F" w:rsidRDefault="00141A2D" w:rsidP="00E774A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567" w:type="dxa"/>
          </w:tcPr>
          <w:p w:rsidR="00141A2D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 w:rsidR="00141A2D" w:rsidRPr="007B255F" w:rsidRDefault="00254801" w:rsidP="007B255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25480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="00141A2D" w:rsidRP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通过项目实施，</w:t>
            </w:r>
            <w:r w:rsidR="008F4AB5" w:rsidRP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是否</w:t>
            </w:r>
            <w:r w:rsidR="009C3E9F" w:rsidRP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推进了</w:t>
            </w:r>
            <w:r w:rsidR="007B255F" w:rsidRP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城乡规划管理的提升</w:t>
            </w:r>
            <w:r w:rsidR="008F4AB5" w:rsidRP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8F4AB5" w:rsidRPr="00AD24A1" w:rsidRDefault="00AD24A1" w:rsidP="00AD24A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8F4AB5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通过项目实施，是否</w:t>
            </w:r>
            <w:r w:rsidR="0025480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有利于扩大城市</w:t>
            </w:r>
            <w:r w:rsidR="002A02DB"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的影响力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。</w:t>
            </w:r>
          </w:p>
          <w:p w:rsidR="002C2F0D" w:rsidRPr="00EF567F" w:rsidRDefault="002C2F0D" w:rsidP="00AD24A1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141A2D" w:rsidRPr="00EF567F" w:rsidRDefault="00141A2D" w:rsidP="007B255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达到目标值得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分，每个未</w:t>
            </w:r>
            <w:proofErr w:type="gramStart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达标项扣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proofErr w:type="gramEnd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，扣完为止。</w:t>
            </w:r>
          </w:p>
        </w:tc>
        <w:tc>
          <w:tcPr>
            <w:tcW w:w="44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C2F0D" w:rsidRPr="00B24AE6" w:rsidRDefault="002C2F0D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B24AE6" w:rsidRDefault="007B255F" w:rsidP="00AD24A1">
            <w:pPr>
              <w:widowControl/>
              <w:adjustRightInd w:val="0"/>
              <w:snapToGrid w:val="0"/>
              <w:spacing w:after="200"/>
              <w:ind w:firstLineChars="1200" w:firstLine="18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7B255F" w:rsidRDefault="007B255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</w:pPr>
          </w:p>
          <w:p w:rsidR="007B255F" w:rsidRDefault="007B255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</w:pPr>
          </w:p>
          <w:p w:rsidR="00141A2D" w:rsidRPr="00B24AE6" w:rsidRDefault="007B255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</w:tr>
      <w:tr w:rsidR="00141A2D" w:rsidRPr="00E774A8" w:rsidTr="002C192D">
        <w:trPr>
          <w:trHeight w:val="615"/>
        </w:trPr>
        <w:tc>
          <w:tcPr>
            <w:tcW w:w="675" w:type="dxa"/>
            <w:vMerge/>
            <w:vAlign w:val="center"/>
          </w:tcPr>
          <w:p w:rsidR="00141A2D" w:rsidRPr="00EF567F" w:rsidRDefault="00141A2D" w:rsidP="00E774A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D1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567" w:type="dxa"/>
          </w:tcPr>
          <w:p w:rsidR="00141A2D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265DCA" w:rsidRDefault="00265DC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 w:rsidR="00141A2D" w:rsidRPr="00EF567F" w:rsidRDefault="00141A2D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6</w:t>
            </w:r>
          </w:p>
        </w:tc>
        <w:tc>
          <w:tcPr>
            <w:tcW w:w="3295" w:type="dxa"/>
            <w:vAlign w:val="center"/>
          </w:tcPr>
          <w:p w:rsidR="00141A2D" w:rsidRDefault="00AD24A1" w:rsidP="0065165B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①</w:t>
            </w:r>
            <w:r w:rsidR="006F2D70" w:rsidRP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项目实施是否符合国家或行业可持续发展的相关规定及要求</w:t>
            </w:r>
            <w:r w:rsid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；</w:t>
            </w:r>
          </w:p>
          <w:p w:rsidR="00265DCA" w:rsidRPr="00EF567F" w:rsidRDefault="00AD24A1" w:rsidP="007B255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AD24A1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②</w:t>
            </w:r>
            <w:r w:rsidR="006F2D70" w:rsidRPr="006F2D70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通过项目的实施，是否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提升</w:t>
            </w:r>
            <w:r w:rsidR="002A02DB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了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区域发展竞争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力。</w:t>
            </w:r>
          </w:p>
        </w:tc>
        <w:tc>
          <w:tcPr>
            <w:tcW w:w="2693" w:type="dxa"/>
            <w:vAlign w:val="center"/>
          </w:tcPr>
          <w:p w:rsidR="00141A2D" w:rsidRPr="00EF567F" w:rsidRDefault="00141A2D" w:rsidP="007B255F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lastRenderedPageBreak/>
              <w:t>达到目标值得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分，每个未</w:t>
            </w:r>
            <w:proofErr w:type="gramStart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达标项扣</w:t>
            </w:r>
            <w:r w:rsidR="007B255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  <w:proofErr w:type="gramEnd"/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，扣完为止。</w:t>
            </w:r>
          </w:p>
        </w:tc>
        <w:tc>
          <w:tcPr>
            <w:tcW w:w="44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B24AE6" w:rsidRPr="00B24AE6" w:rsidRDefault="00B24AE6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141A2D" w:rsidRPr="00B24AE6" w:rsidRDefault="007B255F" w:rsidP="00AD24A1">
            <w:pPr>
              <w:widowControl/>
              <w:adjustRightInd w:val="0"/>
              <w:snapToGrid w:val="0"/>
              <w:spacing w:after="200"/>
              <w:ind w:firstLineChars="500" w:firstLine="75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 w:rsidR="00141A2D" w:rsidRPr="00B24AE6" w:rsidRDefault="00141A2D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B255F" w:rsidRDefault="007B255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</w:pPr>
          </w:p>
          <w:p w:rsidR="00141A2D" w:rsidRPr="00B24AE6" w:rsidRDefault="007B255F" w:rsidP="00AD24A1">
            <w:pPr>
              <w:widowControl/>
              <w:adjustRightInd w:val="0"/>
              <w:snapToGrid w:val="0"/>
              <w:spacing w:after="200"/>
              <w:ind w:firstLineChars="50" w:firstLine="75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</w:tr>
      <w:tr w:rsidR="007248EA" w:rsidRPr="00E774A8" w:rsidTr="006674B7">
        <w:trPr>
          <w:trHeight w:val="390"/>
        </w:trPr>
        <w:tc>
          <w:tcPr>
            <w:tcW w:w="675" w:type="dxa"/>
            <w:vMerge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D2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满意度（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851" w:type="dxa"/>
            <w:vAlign w:val="center"/>
          </w:tcPr>
          <w:p w:rsidR="007248EA" w:rsidRPr="00EF567F" w:rsidRDefault="007248EA" w:rsidP="00D974F9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D2</w:t>
            </w:r>
            <w:r w:rsidR="005903F8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.</w:t>
            </w: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</w:t>
            </w: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服务对象</w:t>
            </w:r>
          </w:p>
          <w:p w:rsidR="007248EA" w:rsidRPr="00EF567F" w:rsidRDefault="007248EA" w:rsidP="00D974F9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567" w:type="dxa"/>
          </w:tcPr>
          <w:p w:rsidR="007248EA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Default="007248EA" w:rsidP="006B5515">
            <w:pPr>
              <w:widowControl/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  <w:p w:rsidR="007248EA" w:rsidRPr="00EF567F" w:rsidRDefault="006B5515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vAlign w:val="center"/>
          </w:tcPr>
          <w:p w:rsidR="007248EA" w:rsidRPr="00EF567F" w:rsidRDefault="007248EA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3295" w:type="dxa"/>
            <w:vAlign w:val="center"/>
          </w:tcPr>
          <w:p w:rsidR="007248EA" w:rsidRPr="00EF567F" w:rsidRDefault="007B255F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受益群众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满意程度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 w:rsidR="00C94DDC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</w:p>
        </w:tc>
        <w:tc>
          <w:tcPr>
            <w:tcW w:w="2693" w:type="dxa"/>
            <w:vAlign w:val="center"/>
          </w:tcPr>
          <w:p w:rsidR="007248EA" w:rsidRPr="00EF567F" w:rsidRDefault="00A24C5F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≥</w:t>
            </w:r>
            <w:r w:rsidR="006B55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%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10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90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7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8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7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4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6B5515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0%≤</w:t>
            </w:r>
            <w:r w:rsidR="00A24C5F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6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，得</w:t>
            </w:r>
            <w:r w:rsidR="007248EA" w:rsidRPr="00EF567F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2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  <w:p w:rsidR="007248EA" w:rsidRPr="00EF567F" w:rsidRDefault="00A24C5F" w:rsidP="006E3CD5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满意度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＜</w:t>
            </w:r>
            <w:r w:rsidR="006B5515">
              <w:rPr>
                <w:rFonts w:ascii="Times New Roman" w:eastAsia="仿宋" w:hAnsi="Times New Roman" w:cs="Times New Roman" w:hint="eastAsia"/>
                <w:kern w:val="0"/>
                <w:sz w:val="15"/>
                <w:szCs w:val="15"/>
              </w:rPr>
              <w:t>5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0%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的，得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0</w:t>
            </w:r>
            <w:r w:rsidR="007248EA"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分</w:t>
            </w:r>
          </w:p>
        </w:tc>
        <w:tc>
          <w:tcPr>
            <w:tcW w:w="4467" w:type="dxa"/>
            <w:vAlign w:val="center"/>
          </w:tcPr>
          <w:p w:rsidR="007248EA" w:rsidRPr="00B24AE6" w:rsidRDefault="00254801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:rsidR="007248EA" w:rsidRPr="00B24AE6" w:rsidRDefault="006674B7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</w:rPr>
            </w:pPr>
            <w:r w:rsidRPr="00B24AE6"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10</w:t>
            </w:r>
          </w:p>
        </w:tc>
      </w:tr>
      <w:tr w:rsidR="00B20F8B" w:rsidRPr="00E774A8" w:rsidTr="006674B7">
        <w:trPr>
          <w:trHeight w:val="581"/>
        </w:trPr>
        <w:tc>
          <w:tcPr>
            <w:tcW w:w="675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总分</w:t>
            </w:r>
          </w:p>
        </w:tc>
        <w:tc>
          <w:tcPr>
            <w:tcW w:w="708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</w:pPr>
            <w:r w:rsidRPr="00EF567F">
              <w:rPr>
                <w:rFonts w:ascii="Times New Roman" w:eastAsia="仿宋" w:hAnsi="Times New Roman" w:cs="Times New Roman"/>
                <w:kern w:val="0"/>
                <w:sz w:val="15"/>
                <w:szCs w:val="15"/>
              </w:rPr>
              <w:t>100</w:t>
            </w:r>
          </w:p>
        </w:tc>
        <w:tc>
          <w:tcPr>
            <w:tcW w:w="3295" w:type="dxa"/>
            <w:vAlign w:val="center"/>
          </w:tcPr>
          <w:p w:rsidR="00B20F8B" w:rsidRPr="00AD24A1" w:rsidRDefault="00B20F8B" w:rsidP="00E774A8">
            <w:pPr>
              <w:widowControl/>
              <w:adjustRightInd w:val="0"/>
              <w:snapToGrid w:val="0"/>
              <w:jc w:val="left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B20F8B" w:rsidRPr="00EF567F" w:rsidRDefault="00B20F8B" w:rsidP="00E774A8">
            <w:pPr>
              <w:widowControl/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 w:rsidR="00B20F8B" w:rsidRPr="009973AE" w:rsidRDefault="00B20F8B" w:rsidP="00AD24A1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/>
                <w:bCs/>
                <w:kern w:val="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B20F8B" w:rsidRPr="009973AE" w:rsidRDefault="009C1915" w:rsidP="00366236"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eastAsia="仿宋" w:hAnsi="Times New Roman" w:cs="Times New Roman"/>
                <w:bCs/>
                <w:kern w:val="0"/>
                <w:sz w:val="15"/>
                <w:szCs w:val="15"/>
                <w:highlight w:val="yellow"/>
              </w:rPr>
            </w:pPr>
            <w:r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9</w:t>
            </w:r>
            <w:r w:rsidR="00366236">
              <w:rPr>
                <w:rFonts w:ascii="Times New Roman" w:eastAsia="仿宋" w:hAnsi="Times New Roman" w:cs="Times New Roman" w:hint="eastAsia"/>
                <w:bCs/>
                <w:kern w:val="0"/>
                <w:sz w:val="15"/>
                <w:szCs w:val="15"/>
              </w:rPr>
              <w:t>4</w:t>
            </w:r>
            <w:bookmarkStart w:id="3" w:name="_GoBack"/>
            <w:bookmarkEnd w:id="3"/>
          </w:p>
        </w:tc>
      </w:tr>
    </w:tbl>
    <w:p w:rsidR="00E774A8" w:rsidRDefault="00E774A8"/>
    <w:sectPr w:rsidR="00E774A8" w:rsidSect="00E774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577" w:rsidRDefault="00FE5577" w:rsidP="004E1215">
      <w:r>
        <w:separator/>
      </w:r>
    </w:p>
  </w:endnote>
  <w:endnote w:type="continuationSeparator" w:id="0">
    <w:p w:rsidR="00FE5577" w:rsidRDefault="00FE5577" w:rsidP="004E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577" w:rsidRDefault="00FE5577" w:rsidP="004E1215">
      <w:r>
        <w:separator/>
      </w:r>
    </w:p>
  </w:footnote>
  <w:footnote w:type="continuationSeparator" w:id="0">
    <w:p w:rsidR="00FE5577" w:rsidRDefault="00FE5577" w:rsidP="004E1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0EFB"/>
    <w:multiLevelType w:val="hybridMultilevel"/>
    <w:tmpl w:val="7ADCC388"/>
    <w:lvl w:ilvl="0" w:tplc="E41A3A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F9145B"/>
    <w:multiLevelType w:val="hybridMultilevel"/>
    <w:tmpl w:val="A2EA527C"/>
    <w:lvl w:ilvl="0" w:tplc="D97291B8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5B5933"/>
    <w:multiLevelType w:val="hybridMultilevel"/>
    <w:tmpl w:val="826AC0FA"/>
    <w:lvl w:ilvl="0" w:tplc="24AEA8BA">
      <w:start w:val="2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AA7554"/>
    <w:multiLevelType w:val="hybridMultilevel"/>
    <w:tmpl w:val="313C3568"/>
    <w:lvl w:ilvl="0" w:tplc="267CE8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962D6C"/>
    <w:multiLevelType w:val="hybridMultilevel"/>
    <w:tmpl w:val="418C117E"/>
    <w:lvl w:ilvl="0" w:tplc="FE2C6474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2481521"/>
    <w:multiLevelType w:val="hybridMultilevel"/>
    <w:tmpl w:val="D6921CB4"/>
    <w:lvl w:ilvl="0" w:tplc="6B9A4B3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275489B"/>
    <w:multiLevelType w:val="hybridMultilevel"/>
    <w:tmpl w:val="79203D92"/>
    <w:lvl w:ilvl="0" w:tplc="E0547A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D4243D"/>
    <w:multiLevelType w:val="hybridMultilevel"/>
    <w:tmpl w:val="5D0897CE"/>
    <w:lvl w:ilvl="0" w:tplc="C976345E">
      <w:start w:val="3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4BB5CD2"/>
    <w:multiLevelType w:val="hybridMultilevel"/>
    <w:tmpl w:val="0E92612E"/>
    <w:lvl w:ilvl="0" w:tplc="346EEA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B55153A"/>
    <w:multiLevelType w:val="hybridMultilevel"/>
    <w:tmpl w:val="731C71DA"/>
    <w:lvl w:ilvl="0" w:tplc="89C245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6E41617"/>
    <w:multiLevelType w:val="hybridMultilevel"/>
    <w:tmpl w:val="1136941C"/>
    <w:lvl w:ilvl="0" w:tplc="C39825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A8"/>
    <w:rsid w:val="0000517E"/>
    <w:rsid w:val="000128C8"/>
    <w:rsid w:val="00035801"/>
    <w:rsid w:val="000612E5"/>
    <w:rsid w:val="00067858"/>
    <w:rsid w:val="00095F81"/>
    <w:rsid w:val="000A1E79"/>
    <w:rsid w:val="000C29B5"/>
    <w:rsid w:val="000D5EC4"/>
    <w:rsid w:val="000E2438"/>
    <w:rsid w:val="000E3038"/>
    <w:rsid w:val="000F5832"/>
    <w:rsid w:val="00100CC1"/>
    <w:rsid w:val="00101E34"/>
    <w:rsid w:val="0010419D"/>
    <w:rsid w:val="001043B6"/>
    <w:rsid w:val="00106D63"/>
    <w:rsid w:val="001247E4"/>
    <w:rsid w:val="001330D6"/>
    <w:rsid w:val="00141594"/>
    <w:rsid w:val="00141A2D"/>
    <w:rsid w:val="00153D15"/>
    <w:rsid w:val="00153D1D"/>
    <w:rsid w:val="00175060"/>
    <w:rsid w:val="001820D9"/>
    <w:rsid w:val="00183563"/>
    <w:rsid w:val="00185360"/>
    <w:rsid w:val="001B7B8E"/>
    <w:rsid w:val="001F399E"/>
    <w:rsid w:val="001F45C9"/>
    <w:rsid w:val="0020339A"/>
    <w:rsid w:val="00203E35"/>
    <w:rsid w:val="002040FB"/>
    <w:rsid w:val="00204927"/>
    <w:rsid w:val="002072CE"/>
    <w:rsid w:val="00250513"/>
    <w:rsid w:val="002537B9"/>
    <w:rsid w:val="00254113"/>
    <w:rsid w:val="00254801"/>
    <w:rsid w:val="00265DCA"/>
    <w:rsid w:val="00266DDD"/>
    <w:rsid w:val="002837F1"/>
    <w:rsid w:val="002926AE"/>
    <w:rsid w:val="002956AE"/>
    <w:rsid w:val="002A02DB"/>
    <w:rsid w:val="002C192D"/>
    <w:rsid w:val="002C2F0D"/>
    <w:rsid w:val="002D77CF"/>
    <w:rsid w:val="002E1B52"/>
    <w:rsid w:val="002F6B8B"/>
    <w:rsid w:val="0033461B"/>
    <w:rsid w:val="0035292D"/>
    <w:rsid w:val="003538D2"/>
    <w:rsid w:val="00353FCB"/>
    <w:rsid w:val="003647A4"/>
    <w:rsid w:val="003661B3"/>
    <w:rsid w:val="00366236"/>
    <w:rsid w:val="00380952"/>
    <w:rsid w:val="00381795"/>
    <w:rsid w:val="00382D17"/>
    <w:rsid w:val="00382DE2"/>
    <w:rsid w:val="0039247D"/>
    <w:rsid w:val="00393140"/>
    <w:rsid w:val="003B319F"/>
    <w:rsid w:val="003B4D85"/>
    <w:rsid w:val="003B690A"/>
    <w:rsid w:val="003E4CE5"/>
    <w:rsid w:val="003F1637"/>
    <w:rsid w:val="003F31F7"/>
    <w:rsid w:val="003F6AAB"/>
    <w:rsid w:val="00421E87"/>
    <w:rsid w:val="00446FAD"/>
    <w:rsid w:val="00454185"/>
    <w:rsid w:val="00473EC8"/>
    <w:rsid w:val="004A1A10"/>
    <w:rsid w:val="004C7573"/>
    <w:rsid w:val="004E1215"/>
    <w:rsid w:val="00507345"/>
    <w:rsid w:val="00512E0D"/>
    <w:rsid w:val="005329AD"/>
    <w:rsid w:val="00536B96"/>
    <w:rsid w:val="005651BB"/>
    <w:rsid w:val="005706C6"/>
    <w:rsid w:val="005731CF"/>
    <w:rsid w:val="00574BF6"/>
    <w:rsid w:val="005903F8"/>
    <w:rsid w:val="005C42D8"/>
    <w:rsid w:val="0061046B"/>
    <w:rsid w:val="00611334"/>
    <w:rsid w:val="0061139A"/>
    <w:rsid w:val="00623493"/>
    <w:rsid w:val="00633FFB"/>
    <w:rsid w:val="00634ADE"/>
    <w:rsid w:val="00644492"/>
    <w:rsid w:val="0065165B"/>
    <w:rsid w:val="006674B7"/>
    <w:rsid w:val="00672236"/>
    <w:rsid w:val="00675944"/>
    <w:rsid w:val="00675EE3"/>
    <w:rsid w:val="00684078"/>
    <w:rsid w:val="006B4F4A"/>
    <w:rsid w:val="006B5515"/>
    <w:rsid w:val="006B6330"/>
    <w:rsid w:val="006C0891"/>
    <w:rsid w:val="006D49B0"/>
    <w:rsid w:val="006E3CD5"/>
    <w:rsid w:val="006F2D70"/>
    <w:rsid w:val="006F7816"/>
    <w:rsid w:val="007248EA"/>
    <w:rsid w:val="00724970"/>
    <w:rsid w:val="00731EB4"/>
    <w:rsid w:val="00735437"/>
    <w:rsid w:val="0077764F"/>
    <w:rsid w:val="00781ED2"/>
    <w:rsid w:val="007A08D5"/>
    <w:rsid w:val="007A40C3"/>
    <w:rsid w:val="007B255F"/>
    <w:rsid w:val="007E6E9A"/>
    <w:rsid w:val="008034F1"/>
    <w:rsid w:val="0081798B"/>
    <w:rsid w:val="008334E3"/>
    <w:rsid w:val="008366B2"/>
    <w:rsid w:val="0084093E"/>
    <w:rsid w:val="0084180B"/>
    <w:rsid w:val="0084279F"/>
    <w:rsid w:val="008445EB"/>
    <w:rsid w:val="00847121"/>
    <w:rsid w:val="008506BA"/>
    <w:rsid w:val="00864868"/>
    <w:rsid w:val="00871058"/>
    <w:rsid w:val="00891105"/>
    <w:rsid w:val="00894EB8"/>
    <w:rsid w:val="008A2EAE"/>
    <w:rsid w:val="008A371B"/>
    <w:rsid w:val="008A4539"/>
    <w:rsid w:val="008A4654"/>
    <w:rsid w:val="008C3B21"/>
    <w:rsid w:val="008D5D6E"/>
    <w:rsid w:val="008E1969"/>
    <w:rsid w:val="008E6B17"/>
    <w:rsid w:val="008F4AB5"/>
    <w:rsid w:val="00907BD1"/>
    <w:rsid w:val="0092287E"/>
    <w:rsid w:val="00923B14"/>
    <w:rsid w:val="009249B0"/>
    <w:rsid w:val="00933ECA"/>
    <w:rsid w:val="00955288"/>
    <w:rsid w:val="00962CE3"/>
    <w:rsid w:val="009656AA"/>
    <w:rsid w:val="0096732C"/>
    <w:rsid w:val="00986F27"/>
    <w:rsid w:val="00994FA4"/>
    <w:rsid w:val="009973AE"/>
    <w:rsid w:val="009A5D6A"/>
    <w:rsid w:val="009B006C"/>
    <w:rsid w:val="009C1915"/>
    <w:rsid w:val="009C3E9F"/>
    <w:rsid w:val="009F0C02"/>
    <w:rsid w:val="00A00711"/>
    <w:rsid w:val="00A07A6D"/>
    <w:rsid w:val="00A24C5F"/>
    <w:rsid w:val="00A336EB"/>
    <w:rsid w:val="00A413A6"/>
    <w:rsid w:val="00A471C3"/>
    <w:rsid w:val="00A53CDA"/>
    <w:rsid w:val="00A60173"/>
    <w:rsid w:val="00A637CC"/>
    <w:rsid w:val="00A717D4"/>
    <w:rsid w:val="00A760AA"/>
    <w:rsid w:val="00A92C15"/>
    <w:rsid w:val="00A9416F"/>
    <w:rsid w:val="00AC1F94"/>
    <w:rsid w:val="00AD24A1"/>
    <w:rsid w:val="00AD5A05"/>
    <w:rsid w:val="00AE25D2"/>
    <w:rsid w:val="00AE30C8"/>
    <w:rsid w:val="00B20F8B"/>
    <w:rsid w:val="00B24AD6"/>
    <w:rsid w:val="00B24AE6"/>
    <w:rsid w:val="00B2702D"/>
    <w:rsid w:val="00B51CC9"/>
    <w:rsid w:val="00BC51A7"/>
    <w:rsid w:val="00BE2762"/>
    <w:rsid w:val="00BF50F3"/>
    <w:rsid w:val="00C0293F"/>
    <w:rsid w:val="00C029B7"/>
    <w:rsid w:val="00C460AF"/>
    <w:rsid w:val="00C5643F"/>
    <w:rsid w:val="00C61385"/>
    <w:rsid w:val="00C677B9"/>
    <w:rsid w:val="00C67C6C"/>
    <w:rsid w:val="00C94DDC"/>
    <w:rsid w:val="00CA61D3"/>
    <w:rsid w:val="00CD548B"/>
    <w:rsid w:val="00CE0237"/>
    <w:rsid w:val="00CE2067"/>
    <w:rsid w:val="00D07F90"/>
    <w:rsid w:val="00D370C6"/>
    <w:rsid w:val="00D3753B"/>
    <w:rsid w:val="00D40661"/>
    <w:rsid w:val="00D43C37"/>
    <w:rsid w:val="00D50BFF"/>
    <w:rsid w:val="00D51A61"/>
    <w:rsid w:val="00D77D4F"/>
    <w:rsid w:val="00D81BFB"/>
    <w:rsid w:val="00D81FD6"/>
    <w:rsid w:val="00D8586B"/>
    <w:rsid w:val="00D974F9"/>
    <w:rsid w:val="00DA30B7"/>
    <w:rsid w:val="00DB474E"/>
    <w:rsid w:val="00DC00F7"/>
    <w:rsid w:val="00DD786B"/>
    <w:rsid w:val="00E205C2"/>
    <w:rsid w:val="00E21DB8"/>
    <w:rsid w:val="00E317E3"/>
    <w:rsid w:val="00E379F7"/>
    <w:rsid w:val="00E43DC3"/>
    <w:rsid w:val="00E45386"/>
    <w:rsid w:val="00E45F68"/>
    <w:rsid w:val="00E6769A"/>
    <w:rsid w:val="00E6799F"/>
    <w:rsid w:val="00E774A8"/>
    <w:rsid w:val="00EA22C1"/>
    <w:rsid w:val="00EA350A"/>
    <w:rsid w:val="00EC03AE"/>
    <w:rsid w:val="00EC111C"/>
    <w:rsid w:val="00EC5D61"/>
    <w:rsid w:val="00EF567F"/>
    <w:rsid w:val="00F00C02"/>
    <w:rsid w:val="00F016A0"/>
    <w:rsid w:val="00F313F9"/>
    <w:rsid w:val="00F32883"/>
    <w:rsid w:val="00F46866"/>
    <w:rsid w:val="00F5255A"/>
    <w:rsid w:val="00F57879"/>
    <w:rsid w:val="00F71F0F"/>
    <w:rsid w:val="00F97B80"/>
    <w:rsid w:val="00FA1592"/>
    <w:rsid w:val="00FA2D7F"/>
    <w:rsid w:val="00FA6471"/>
    <w:rsid w:val="00FB0968"/>
    <w:rsid w:val="00FC4EEC"/>
    <w:rsid w:val="00FC6510"/>
    <w:rsid w:val="00FD5F31"/>
    <w:rsid w:val="00FE1468"/>
    <w:rsid w:val="00FE1B48"/>
    <w:rsid w:val="00FE5577"/>
    <w:rsid w:val="00FE79C6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8D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E1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12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1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E12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8D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E1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121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1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E12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</dc:creator>
  <cp:lastModifiedBy>Administrator</cp:lastModifiedBy>
  <cp:revision>34</cp:revision>
  <dcterms:created xsi:type="dcterms:W3CDTF">2023-12-28T03:01:00Z</dcterms:created>
  <dcterms:modified xsi:type="dcterms:W3CDTF">2024-01-09T07:20:00Z</dcterms:modified>
</cp:coreProperties>
</file>